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24EC45B" w:rsidR="00E66558" w:rsidRDefault="00CD5429">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 xml:space="preserve">William Gilbert School </w:t>
      </w:r>
      <w:r w:rsidR="009D71E8">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r w:rsidR="00226317">
        <w:t xml:space="preserve"> </w:t>
      </w:r>
    </w:p>
    <w:p w14:paraId="16B48015" w14:textId="188060C5"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261E9015" w:rsidR="002940F3" w:rsidRDefault="00CD5429" w:rsidP="00C31636">
            <w:pPr>
              <w:pStyle w:val="TableRow"/>
              <w:ind w:left="0" w:right="0"/>
            </w:pPr>
            <w:r>
              <w:t>240</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391870D2" w:rsidR="002940F3" w:rsidRDefault="00CD5429" w:rsidP="00C31636">
            <w:pPr>
              <w:pStyle w:val="TableRow"/>
              <w:ind w:left="0" w:right="0"/>
            </w:pPr>
            <w:r>
              <w:t>9%</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667114D3" w:rsidR="002940F3" w:rsidRDefault="00CD5429" w:rsidP="00C31636">
            <w:pPr>
              <w:pStyle w:val="TableRow"/>
              <w:ind w:left="0" w:right="0"/>
            </w:pPr>
            <w:r>
              <w:t>1</w:t>
            </w:r>
            <w:r w:rsidRPr="00CD5429">
              <w:rPr>
                <w:vertAlign w:val="superscript"/>
              </w:rPr>
              <w:t>st</w:t>
            </w:r>
            <w:r>
              <w:t xml:space="preserve"> Year 2025 - 2026</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C37497F" w:rsidR="002940F3" w:rsidRDefault="00CD5429" w:rsidP="00C31636">
            <w:pPr>
              <w:pStyle w:val="TableRow"/>
              <w:ind w:left="0" w:right="0"/>
            </w:pPr>
            <w:r>
              <w:t>December 2025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008AEADD" w:rsidR="002940F3" w:rsidRDefault="00CD5429" w:rsidP="00C31636">
            <w:pPr>
              <w:pStyle w:val="TableRow"/>
              <w:ind w:left="0" w:right="0"/>
            </w:pPr>
            <w:r>
              <w:t>December 2026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267F30" w14:textId="77777777" w:rsidR="002940F3" w:rsidRDefault="00CD5429" w:rsidP="00C31636">
            <w:pPr>
              <w:pStyle w:val="TableRow"/>
              <w:ind w:left="0" w:right="0"/>
            </w:pPr>
            <w:r>
              <w:t>Helen Britten</w:t>
            </w:r>
          </w:p>
          <w:p w14:paraId="2A7D54C8" w14:textId="223EFFCE" w:rsidR="005F76F4" w:rsidRDefault="00F6155E" w:rsidP="00C31636">
            <w:pPr>
              <w:pStyle w:val="TableRow"/>
              <w:ind w:left="0" w:right="0"/>
            </w:pPr>
            <w:r>
              <w:t xml:space="preserve">Headteacher </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8B0EB78" w14:textId="77777777" w:rsidR="002940F3" w:rsidRDefault="00CD5429" w:rsidP="00C31636">
            <w:pPr>
              <w:pStyle w:val="TableRow"/>
              <w:ind w:left="0" w:right="0"/>
            </w:pPr>
            <w:r>
              <w:t>Emily Davies</w:t>
            </w:r>
          </w:p>
          <w:p w14:paraId="2A7D54CB" w14:textId="7B7612CB" w:rsidR="00F6155E" w:rsidRDefault="00F6155E" w:rsidP="00C31636">
            <w:pPr>
              <w:pStyle w:val="TableRow"/>
              <w:ind w:left="0" w:right="0"/>
            </w:pPr>
            <w:r>
              <w:t>SENDCO / Assistant Headteacher</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673DF44" w:rsidR="002940F3" w:rsidRDefault="00CD5429" w:rsidP="00C31636">
            <w:pPr>
              <w:pStyle w:val="TableRow"/>
              <w:ind w:left="0" w:right="0"/>
            </w:pPr>
            <w:r>
              <w:t>Kerry Marsh</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052B7899" w:rsidR="00E66558" w:rsidRDefault="00CD5429" w:rsidP="00C31636">
            <w:pPr>
              <w:pStyle w:val="TableRow"/>
              <w:ind w:left="0" w:right="0"/>
            </w:pPr>
            <w:r>
              <w:t>£37,790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7398D5D" w:rsidR="00E66558" w:rsidRDefault="009D71E8" w:rsidP="00C31636">
            <w:pPr>
              <w:pStyle w:val="TableRow"/>
              <w:ind w:left="0" w:right="0"/>
            </w:pPr>
            <w:r>
              <w:t>£</w:t>
            </w:r>
            <w:r w:rsidR="00CD5429">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44E2A0A4" w:rsidR="00E66558" w:rsidRDefault="00CD5429" w:rsidP="00C31636">
            <w:pPr>
              <w:pStyle w:val="TableRow"/>
              <w:ind w:left="0" w:right="0"/>
            </w:pPr>
            <w:r>
              <w:t>£37,790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F686" w14:textId="69ABCBB7" w:rsidR="00ED711A" w:rsidRPr="00ED711A" w:rsidRDefault="00ED711A" w:rsidP="00ED711A">
            <w:r w:rsidRPr="00ED711A">
              <w:t>Our</w:t>
            </w:r>
            <w:r w:rsidR="00446935">
              <w:t xml:space="preserve"> </w:t>
            </w:r>
            <w:r w:rsidR="00F6155E" w:rsidRPr="00ED711A">
              <w:t>aim</w:t>
            </w:r>
            <w:r w:rsidRPr="00ED711A">
              <w:t xml:space="preserve"> is to ensure that every disadvantaged pupil thrives academically, socially, and personally, regardless of the challenges they face. We are committed to closing attainment gaps, accelerating progress, and fostering high aspirations so that all pupils experience success and are fully prepared for the next stage of their education and life beyond school. Every child should access a rich, ambitious curriculum and develop the knowledge, skills, and character needed to flourish.</w:t>
            </w:r>
          </w:p>
          <w:p w14:paraId="0ACB1434" w14:textId="3B88A3F5" w:rsidR="00ED711A" w:rsidRPr="00ED711A" w:rsidRDefault="00ED711A" w:rsidP="00ED711A">
            <w:r w:rsidRPr="00ED711A">
              <w:t>Our Pupil Premium strategy is designed to remove barriers to learning and provide targeted support where it is most needed. Through robust diagnostic assessment and ongoing monitoring, we identify individual needs early and intervene promptly. This tiered approach ensures disadvantaged pupils benefit from excellent classroom practice, personalised interventions, and opportunities that build cultural capital and aspiration.</w:t>
            </w:r>
          </w:p>
          <w:p w14:paraId="09B4639A" w14:textId="138A3506" w:rsidR="00ED711A" w:rsidRPr="00ED711A" w:rsidRDefault="00ED711A" w:rsidP="00ED711A">
            <w:r w:rsidRPr="00ED711A">
              <w:t xml:space="preserve">Through evidence informed practice decisions are rooted in research and best practice, ensuring that resources deliver maximum impact. The key principles of our strategy are rooted through </w:t>
            </w:r>
            <w:r>
              <w:t>hi</w:t>
            </w:r>
            <w:r w:rsidRPr="00ED711A">
              <w:t>gh</w:t>
            </w:r>
            <w:r>
              <w:t xml:space="preserve"> q</w:t>
            </w:r>
            <w:r w:rsidRPr="00ED711A">
              <w:t xml:space="preserve">uality </w:t>
            </w:r>
            <w:r>
              <w:t>t</w:t>
            </w:r>
            <w:r w:rsidRPr="00ED711A">
              <w:t>eaching. Evidence from the EEF and Sutton Trust confirms that strong teaching has the greatest impact on disadvantaged pupils. We prioritise professional development and curriculum consistency to secure excellence in every classroom.</w:t>
            </w:r>
          </w:p>
          <w:p w14:paraId="7C4757EB" w14:textId="25F4233A" w:rsidR="00ED711A" w:rsidRPr="00ED711A" w:rsidRDefault="00ED711A" w:rsidP="00ED711A">
            <w:r w:rsidRPr="00ED711A">
              <w:t xml:space="preserve">Early identification and responsive intervention </w:t>
            </w:r>
            <w:r w:rsidR="00482A30" w:rsidRPr="00ED711A">
              <w:t>are</w:t>
            </w:r>
            <w:r w:rsidRPr="00ED711A">
              <w:t xml:space="preserve"> fundamental</w:t>
            </w:r>
            <w:r>
              <w:t>.</w:t>
            </w:r>
            <w:r w:rsidRPr="00ED711A">
              <w:t xml:space="preserve"> We act swiftly when needs are identified, using data</w:t>
            </w:r>
            <w:r>
              <w:t xml:space="preserve">, </w:t>
            </w:r>
            <w:r w:rsidRPr="00ED711A">
              <w:t xml:space="preserve">teacher insight </w:t>
            </w:r>
            <w:r>
              <w:t xml:space="preserve">and pupil / parent voice </w:t>
            </w:r>
            <w:r w:rsidRPr="00ED711A">
              <w:t>to tailor support for both academic and personal development.</w:t>
            </w:r>
          </w:p>
          <w:p w14:paraId="112C8A4C" w14:textId="13626E59" w:rsidR="00ED711A" w:rsidRPr="00ED711A" w:rsidRDefault="00ED711A" w:rsidP="00ED711A">
            <w:r w:rsidRPr="00ED711A">
              <w:t>Our strategy goes beyond academic attainment, focusing on wellbeing, resilience, and enrichment to prepare pupils for life in all its fullness.</w:t>
            </w:r>
            <w:r>
              <w:t xml:space="preserve"> </w:t>
            </w:r>
            <w:r w:rsidRPr="00ED711A">
              <w:t>The strategy aligns with our School Development Plan and involves subject leaders, SENCO, and pastoral teams to maintain a coherent, whole-school approach.</w:t>
            </w:r>
            <w:r w:rsidR="005539F2">
              <w:t xml:space="preserve"> It means we take collective responsibility for overcoming the barriers of achievement </w:t>
            </w:r>
            <w:r w:rsidR="00AA2FC9">
              <w:t>that are brought about circumstances.</w:t>
            </w:r>
          </w:p>
          <w:p w14:paraId="2A7D54E9" w14:textId="36FB7103" w:rsidR="00E66558" w:rsidRPr="00ED711A" w:rsidRDefault="00ED711A" w:rsidP="00CD5429">
            <w:r w:rsidRPr="00ED711A">
              <w:t xml:space="preserve">Every decision is guided by our vision: </w:t>
            </w:r>
            <w:r w:rsidRPr="00ED711A">
              <w:rPr>
                <w:i/>
                <w:iCs/>
              </w:rPr>
              <w:t>“Through Faith, Hope and Love we learn together.”</w:t>
            </w:r>
            <w:r w:rsidRPr="00ED711A">
              <w:t xml:space="preserve"> We recognise that vulnerability is not limited to pupils eligible for Pupil Premium funding; therefore, our approach encompasses all pupils whose learning and progress may be adversely affected by social or economic challenges. While not all disadvantaged pupils are underachieving</w:t>
            </w:r>
            <w:r w:rsidR="00C81AEE">
              <w:t xml:space="preserve"> academically</w:t>
            </w:r>
            <w:r w:rsidRPr="00ED711A">
              <w:t>, our focus is to fulfil the highest aspirations for progress and achievement, enabling every child to experience life in all its fullness (John 10:10). By developing the whole child, we prepare them to become well-rounded individuals ready for the next stage of their education</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B73A01" w:rsidRDefault="009D71E8" w:rsidP="00C31636">
            <w:pPr>
              <w:pStyle w:val="TableHeader"/>
              <w:ind w:left="0" w:right="0"/>
              <w:jc w:val="left"/>
              <w:rPr>
                <w:sz w:val="22"/>
                <w:szCs w:val="22"/>
              </w:rPr>
            </w:pPr>
            <w:r w:rsidRPr="00B73A01">
              <w:rPr>
                <w:sz w:val="22"/>
                <w:szCs w:val="22"/>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B73A01" w:rsidRDefault="009D71E8" w:rsidP="00C31636">
            <w:pPr>
              <w:pStyle w:val="TableHeader"/>
              <w:ind w:left="0" w:right="0"/>
              <w:jc w:val="left"/>
              <w:rPr>
                <w:sz w:val="22"/>
                <w:szCs w:val="22"/>
              </w:rPr>
            </w:pPr>
            <w:r w:rsidRPr="00B73A01">
              <w:rPr>
                <w:sz w:val="22"/>
                <w:szCs w:val="22"/>
              </w:rP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5E2B2574" w:rsidR="00AA3E4E" w:rsidRPr="00054DC7" w:rsidRDefault="003D5498" w:rsidP="00B73A01">
            <w:pPr>
              <w:pStyle w:val="TableRowCentered"/>
              <w:jc w:val="left"/>
              <w:rPr>
                <w:sz w:val="20"/>
              </w:rPr>
            </w:pPr>
            <w:r w:rsidRPr="00C53002">
              <w:rPr>
                <w:rFonts w:cs="Arial"/>
                <w:sz w:val="20"/>
              </w:rPr>
              <w:t>As part of our ongoing commitment to high-quality teaching and learning, WGES has developed a bespoke Suite of Learning that outlines our shared pedagogical principles and expectations. With several new teachers and curriculum subject coordinators joining the school, it is essential to ensure that this framework is consistently understood, implemented, and embedded across all classrooms and subject areas. </w:t>
            </w:r>
            <w:r w:rsidR="008749CF" w:rsidRPr="008749CF">
              <w:rPr>
                <w:sz w:val="20"/>
              </w:rPr>
              <w:t xml:space="preserve">Pupils are not consistently secure in recalling and applying prior knowledge from previous topics in foundation subjects. This </w:t>
            </w:r>
            <w:r w:rsidR="00E41E95" w:rsidRPr="00054DC7">
              <w:rPr>
                <w:sz w:val="20"/>
              </w:rPr>
              <w:t>reduces</w:t>
            </w:r>
            <w:r w:rsidR="008749CF" w:rsidRPr="008749CF">
              <w:rPr>
                <w:sz w:val="20"/>
              </w:rPr>
              <w:t xml:space="preserve"> their ability to make meaningful connections across the curriculum and embed learning into long-term memory. Embedding systematic retrieval practice will strengthen knowledge retention, link learning across units, and support progression in foundation subjects.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7BF96093" w:rsidR="00E66558" w:rsidRPr="00054DC7" w:rsidRDefault="00C53002" w:rsidP="00B73A01">
            <w:pPr>
              <w:pStyle w:val="TableRowCentered"/>
              <w:jc w:val="left"/>
              <w:rPr>
                <w:sz w:val="20"/>
              </w:rPr>
            </w:pPr>
            <w:r w:rsidRPr="00054DC7">
              <w:rPr>
                <w:rFonts w:cs="Arial"/>
                <w:sz w:val="20"/>
              </w:rPr>
              <w:t>Following the school’s end-of-year review against the Derbyshire Inclusion Framework, key next steps have been identified to strengthen inclusive practice, particularly for pupils with SEND and those from disadvantaged backgrounds. These include the implementation of the </w:t>
            </w:r>
            <w:r w:rsidR="00043C55" w:rsidRPr="00054DC7">
              <w:rPr>
                <w:rFonts w:cs="Arial"/>
                <w:sz w:val="20"/>
              </w:rPr>
              <w:t xml:space="preserve">new </w:t>
            </w:r>
            <w:r w:rsidRPr="00054DC7">
              <w:rPr>
                <w:rFonts w:cs="Arial"/>
                <w:sz w:val="20"/>
              </w:rPr>
              <w:t xml:space="preserve">AET Progression Framework to assess and track social and emotional development, and the embedding of neurodiverse-affirming approaches through the ND Advocates and PINS projects. These actions reflect a commitment to early identification, personalised provision, and inclusive environments, in line with national priorities outlined in the DfE’s SEND and AP Improvement Plan (2023). </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1918FF0" w:rsidR="00C73671" w:rsidRPr="00054DC7" w:rsidRDefault="00C4787C" w:rsidP="00B73A01">
            <w:pPr>
              <w:pStyle w:val="TableRowCentered"/>
              <w:jc w:val="left"/>
              <w:rPr>
                <w:sz w:val="20"/>
              </w:rPr>
            </w:pPr>
            <w:r w:rsidRPr="00C4787C">
              <w:rPr>
                <w:sz w:val="20"/>
              </w:rPr>
              <w:t xml:space="preserve">Writing remains a key area for development, particularly for disadvantaged pupils. Although overall attainment in writing is above national averages, the internal gap between disadvantaged and non-disadvantaged pupils is </w:t>
            </w:r>
            <w:r w:rsidR="00BE56E2" w:rsidRPr="00054DC7">
              <w:rPr>
                <w:sz w:val="20"/>
              </w:rPr>
              <w:t>greater</w:t>
            </w:r>
            <w:r w:rsidRPr="00C4787C">
              <w:rPr>
                <w:sz w:val="20"/>
              </w:rPr>
              <w:t xml:space="preserve">. Current KS2 data shows </w:t>
            </w:r>
            <w:r w:rsidRPr="00C4787C">
              <w:rPr>
                <w:b/>
                <w:bCs/>
                <w:sz w:val="20"/>
              </w:rPr>
              <w:t xml:space="preserve">66.7% of disadvantaged pupils achieved the expected standard </w:t>
            </w:r>
            <w:r w:rsidR="00C73671" w:rsidRPr="00054DC7">
              <w:rPr>
                <w:b/>
                <w:bCs/>
                <w:sz w:val="20"/>
              </w:rPr>
              <w:t xml:space="preserve">by the end of KS2 </w:t>
            </w:r>
            <w:r w:rsidRPr="00C4787C">
              <w:rPr>
                <w:b/>
                <w:bCs/>
                <w:sz w:val="20"/>
              </w:rPr>
              <w:t>compared to 93.1% of non-disadvantaged peers</w:t>
            </w:r>
            <w:r w:rsidRPr="00C4787C">
              <w:rPr>
                <w:sz w:val="20"/>
              </w:rPr>
              <w:t xml:space="preserve">, creating a gap of </w:t>
            </w:r>
            <w:r w:rsidRPr="00C4787C">
              <w:rPr>
                <w:b/>
                <w:bCs/>
                <w:sz w:val="20"/>
              </w:rPr>
              <w:t>26.4 percentage points</w:t>
            </w:r>
            <w:r w:rsidRPr="00C4787C">
              <w:rPr>
                <w:sz w:val="20"/>
              </w:rPr>
              <w:t>, which is wider than the national gap (</w:t>
            </w:r>
            <w:r w:rsidR="00BE56E2" w:rsidRPr="00054DC7">
              <w:rPr>
                <w:sz w:val="20"/>
              </w:rPr>
              <w:t>1</w:t>
            </w:r>
            <w:r w:rsidRPr="00C4787C">
              <w:rPr>
                <w:sz w:val="20"/>
              </w:rPr>
              <w:t>9pp). While strategies such as peer and self-assessment, accurate spelling, and effective editing are in place, they are not yet embedded consistently. This indicates that disadvantaged pupils are not progressing at the same rate as their peers in developing independence, precision, and depth in writing.</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9BDA2FA" w:rsidR="00E66558" w:rsidRPr="00054DC7" w:rsidRDefault="006D2A70" w:rsidP="00592DEE">
            <w:pPr>
              <w:pStyle w:val="TableRowCentered"/>
              <w:jc w:val="left"/>
              <w:rPr>
                <w:iCs/>
                <w:sz w:val="20"/>
              </w:rPr>
            </w:pPr>
            <w:r w:rsidRPr="00054DC7">
              <w:rPr>
                <w:iCs/>
                <w:sz w:val="20"/>
              </w:rPr>
              <w:t xml:space="preserve">Observations, pupil voice and early help referrals, </w:t>
            </w:r>
            <w:r w:rsidR="00AC4948" w:rsidRPr="00054DC7">
              <w:rPr>
                <w:iCs/>
                <w:sz w:val="20"/>
              </w:rPr>
              <w:t xml:space="preserve">show that </w:t>
            </w:r>
            <w:r w:rsidR="0099048F" w:rsidRPr="00054DC7">
              <w:rPr>
                <w:iCs/>
                <w:sz w:val="20"/>
              </w:rPr>
              <w:t xml:space="preserve">45% of our </w:t>
            </w:r>
            <w:r w:rsidR="00AC4948" w:rsidRPr="00054DC7">
              <w:rPr>
                <w:iCs/>
                <w:sz w:val="20"/>
              </w:rPr>
              <w:t xml:space="preserve">disadvantaged </w:t>
            </w:r>
            <w:r w:rsidR="00BF644E" w:rsidRPr="00BF644E">
              <w:rPr>
                <w:iCs/>
                <w:sz w:val="20"/>
              </w:rPr>
              <w:t>pupils are not yet ready to self</w:t>
            </w:r>
            <w:r w:rsidR="00BF644E" w:rsidRPr="00BF644E">
              <w:rPr>
                <w:iCs/>
                <w:sz w:val="20"/>
              </w:rPr>
              <w:noBreakHyphen/>
              <w:t>regulate, particularly during transitions and moments of heightened emotion</w:t>
            </w:r>
            <w:r w:rsidR="00F01A55" w:rsidRPr="00054DC7">
              <w:rPr>
                <w:iCs/>
                <w:sz w:val="20"/>
              </w:rPr>
              <w:t xml:space="preserve">. </w:t>
            </w:r>
            <w:r w:rsidR="00BF644E" w:rsidRPr="00BF644E">
              <w:rPr>
                <w:iCs/>
                <w:sz w:val="20"/>
              </w:rPr>
              <w:t xml:space="preserve">Adopting a </w:t>
            </w:r>
            <w:r w:rsidR="000E39D6" w:rsidRPr="00054DC7">
              <w:rPr>
                <w:iCs/>
                <w:sz w:val="20"/>
              </w:rPr>
              <w:t>consistent</w:t>
            </w:r>
            <w:r w:rsidR="00BF644E" w:rsidRPr="00BF644E">
              <w:rPr>
                <w:iCs/>
                <w:sz w:val="20"/>
              </w:rPr>
              <w:t>, neuro</w:t>
            </w:r>
            <w:r w:rsidR="00BF644E" w:rsidRPr="00BF644E">
              <w:rPr>
                <w:iCs/>
                <w:sz w:val="20"/>
              </w:rPr>
              <w:noBreakHyphen/>
              <w:t>informed language of regulatio</w:t>
            </w:r>
            <w:r w:rsidR="00AC4948" w:rsidRPr="00054DC7">
              <w:rPr>
                <w:iCs/>
                <w:sz w:val="20"/>
              </w:rPr>
              <w:t xml:space="preserve">n, </w:t>
            </w:r>
            <w:r w:rsidR="00BF644E" w:rsidRPr="00BF644E">
              <w:rPr>
                <w:iCs/>
                <w:sz w:val="20"/>
              </w:rPr>
              <w:t xml:space="preserve">for example, teaching and modelling Dan Siegel’s hand model of the brain (“flip your lid”) so pupils and adults can recognise when </w:t>
            </w:r>
            <w:r w:rsidR="00BD6767" w:rsidRPr="00054DC7">
              <w:rPr>
                <w:iCs/>
                <w:sz w:val="20"/>
              </w:rPr>
              <w:t xml:space="preserve">the </w:t>
            </w:r>
            <w:r w:rsidR="00BF644E" w:rsidRPr="00BF644E">
              <w:rPr>
                <w:iCs/>
                <w:sz w:val="20"/>
              </w:rPr>
              <w:t>thinking brain a</w:t>
            </w:r>
            <w:r w:rsidR="00BD6767" w:rsidRPr="00054DC7">
              <w:rPr>
                <w:iCs/>
                <w:sz w:val="20"/>
              </w:rPr>
              <w:t>nd</w:t>
            </w:r>
            <w:r w:rsidR="00BF644E" w:rsidRPr="00BF644E">
              <w:rPr>
                <w:iCs/>
                <w:sz w:val="20"/>
              </w:rPr>
              <w:t xml:space="preserve"> </w:t>
            </w:r>
            <w:r w:rsidR="001A285D" w:rsidRPr="00054DC7">
              <w:rPr>
                <w:iCs/>
                <w:sz w:val="20"/>
              </w:rPr>
              <w:t>feelings brain are not connected</w:t>
            </w:r>
            <w:r w:rsidR="00BF644E" w:rsidRPr="00BF644E">
              <w:rPr>
                <w:iCs/>
                <w:sz w:val="20"/>
              </w:rPr>
              <w:t xml:space="preserve"> and co</w:t>
            </w:r>
            <w:r w:rsidR="00BF644E" w:rsidRPr="00BF644E">
              <w:rPr>
                <w:iCs/>
                <w:sz w:val="20"/>
              </w:rPr>
              <w:noBreakHyphen/>
              <w:t>regulate back to calm</w:t>
            </w:r>
            <w:r w:rsidR="001A285D" w:rsidRPr="00054DC7">
              <w:rPr>
                <w:iCs/>
                <w:sz w:val="20"/>
              </w:rPr>
              <w:t xml:space="preserve">, </w:t>
            </w:r>
            <w:r w:rsidR="00BF644E" w:rsidRPr="00BF644E">
              <w:rPr>
                <w:iCs/>
                <w:sz w:val="20"/>
              </w:rPr>
              <w:t>will strengthen shared understanding and practice. This aligns with relational guidance that prioritises connection, co</w:t>
            </w:r>
            <w:r w:rsidR="00BF644E" w:rsidRPr="00BF644E">
              <w:rPr>
                <w:iCs/>
                <w:sz w:val="20"/>
              </w:rPr>
              <w:noBreakHyphen/>
              <w:t xml:space="preserve">regulation and restoration over punitive responses, which is associated with reduced </w:t>
            </w:r>
            <w:r w:rsidR="00592DEE" w:rsidRPr="00054DC7">
              <w:rPr>
                <w:iCs/>
                <w:sz w:val="20"/>
              </w:rPr>
              <w:t>opportunities for dysregulation</w:t>
            </w:r>
            <w:r w:rsidR="00BF644E" w:rsidRPr="00BF644E">
              <w:rPr>
                <w:iCs/>
                <w:sz w:val="20"/>
              </w:rPr>
              <w:t xml:space="preserve"> and improved wellbeing and learning</w:t>
            </w:r>
            <w:r w:rsidR="00C07B15" w:rsidRPr="00054DC7">
              <w:rPr>
                <w:iCs/>
                <w:sz w:val="20"/>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F7FAD28" w:rsidR="00E66558" w:rsidRPr="00054DC7" w:rsidRDefault="00322968" w:rsidP="00B73A01">
            <w:pPr>
              <w:pStyle w:val="TableRowCentered"/>
              <w:jc w:val="left"/>
              <w:rPr>
                <w:iCs/>
                <w:sz w:val="20"/>
              </w:rPr>
            </w:pPr>
            <w:r w:rsidRPr="00054DC7">
              <w:rPr>
                <w:iCs/>
                <w:sz w:val="20"/>
              </w:rPr>
              <w:t xml:space="preserve">In 2024–2025, the school set a target for 54% (19/35) of Year 4 pupils to achieve full marks in the Multiplication Tables Check (MTC). However, only 31% (11/35) achieved 25/25. While the average score improved to 22.9, the proportion of pupils reaching the expected standard fell short of the target. </w:t>
            </w:r>
            <w:r w:rsidR="000A6638" w:rsidRPr="00883370">
              <w:rPr>
                <w:iCs/>
                <w:sz w:val="20"/>
              </w:rPr>
              <w:t>Fluency and automaticity in multiplication facts remain</w:t>
            </w:r>
            <w:r w:rsidR="000A6638" w:rsidRPr="00054DC7">
              <w:rPr>
                <w:iCs/>
                <w:sz w:val="20"/>
              </w:rPr>
              <w:t>s a focus</w:t>
            </w:r>
            <w:r w:rsidR="000A6638" w:rsidRPr="00883370">
              <w:rPr>
                <w:iCs/>
                <w:sz w:val="20"/>
              </w:rPr>
              <w:t xml:space="preserve">, with disadvantaged pupils performing below their peers. </w:t>
            </w:r>
            <w:r w:rsidR="000A6638" w:rsidRPr="00883370">
              <w:rPr>
                <w:b/>
                <w:bCs/>
                <w:iCs/>
                <w:sz w:val="20"/>
              </w:rPr>
              <w:t>Current Year 4 MTC data shows an average score of 20.6 for disadvantaged pupils compared to 23.19 for non-disadvantaged, creating an internal gap of 2.6 points. While 33.3% of disadvantaged pupils achieved full marks (25/25),</w:t>
            </w:r>
            <w:r w:rsidR="000A6638" w:rsidRPr="00883370">
              <w:rPr>
                <w:iCs/>
                <w:sz w:val="20"/>
              </w:rPr>
              <w:t xml:space="preserve"> this is below the proportion of non-disadvantaged pupils nationally (37%) and indicates that recall speed and accuracy are not yet secure for all learners. </w:t>
            </w:r>
          </w:p>
        </w:tc>
      </w:tr>
    </w:tbl>
    <w:p w14:paraId="2A7D54FF" w14:textId="60900043"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283A" w14:textId="130B7142" w:rsidR="00C44188" w:rsidRPr="00C44188" w:rsidRDefault="00C44188" w:rsidP="00C44188">
            <w:pPr>
              <w:pStyle w:val="TableRow"/>
              <w:rPr>
                <w:sz w:val="20"/>
                <w:szCs w:val="20"/>
              </w:rPr>
            </w:pPr>
            <w:r w:rsidRPr="00C44188">
              <w:rPr>
                <w:sz w:val="20"/>
                <w:szCs w:val="20"/>
              </w:rPr>
              <w:t>All pupils experience consistently high-quality, evidence-informed teaching across the curriculum. New teachers confidently implement the WGES Suite of Learning, and all staff</w:t>
            </w:r>
            <w:r>
              <w:rPr>
                <w:sz w:val="20"/>
                <w:szCs w:val="20"/>
              </w:rPr>
              <w:t xml:space="preserve">, </w:t>
            </w:r>
            <w:r w:rsidRPr="00C44188">
              <w:rPr>
                <w:sz w:val="20"/>
                <w:szCs w:val="20"/>
              </w:rPr>
              <w:t>including subject coordinators</w:t>
            </w:r>
            <w:r>
              <w:rPr>
                <w:sz w:val="20"/>
                <w:szCs w:val="20"/>
              </w:rPr>
              <w:t xml:space="preserve">, </w:t>
            </w:r>
            <w:r w:rsidRPr="00C44188">
              <w:rPr>
                <w:sz w:val="20"/>
                <w:szCs w:val="20"/>
              </w:rPr>
              <w:t>embed agreed pedagogical principles. Best practice is routinely shared, ensuring that teaching approaches are coherent, retrieval strategies are applied effectively, and pupils secure and build on prior learning to make sustained progress.</w:t>
            </w:r>
          </w:p>
          <w:p w14:paraId="2A7D5504" w14:textId="5BB2DE03" w:rsidR="00E66558" w:rsidRPr="00CD11E4" w:rsidRDefault="00E66558" w:rsidP="00C31636">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3EE2" w14:textId="77777777" w:rsidR="003F316E" w:rsidRPr="00CD11E4" w:rsidRDefault="003F316E" w:rsidP="00AD6B5E">
            <w:pPr>
              <w:pStyle w:val="TableRowCentered"/>
              <w:numPr>
                <w:ilvl w:val="0"/>
                <w:numId w:val="13"/>
              </w:numPr>
              <w:jc w:val="left"/>
              <w:rPr>
                <w:sz w:val="20"/>
              </w:rPr>
            </w:pPr>
            <w:r w:rsidRPr="003F316E">
              <w:rPr>
                <w:sz w:val="20"/>
              </w:rPr>
              <w:t>All teachers demonstrate consistent use of the WGES Suite of Learning in lesson planning, delivery, and assessment.</w:t>
            </w:r>
          </w:p>
          <w:p w14:paraId="46CC8968" w14:textId="77777777" w:rsidR="003F316E" w:rsidRPr="00CD11E4" w:rsidRDefault="003F316E" w:rsidP="00AD6B5E">
            <w:pPr>
              <w:pStyle w:val="TableRowCentered"/>
              <w:numPr>
                <w:ilvl w:val="0"/>
                <w:numId w:val="13"/>
              </w:numPr>
              <w:jc w:val="left"/>
              <w:rPr>
                <w:sz w:val="20"/>
              </w:rPr>
            </w:pPr>
            <w:r w:rsidRPr="003F316E">
              <w:rPr>
                <w:sz w:val="20"/>
              </w:rPr>
              <w:t>Lesson observations and learning walks show alignment with agreed pedagogical principles across all classrooms.</w:t>
            </w:r>
          </w:p>
          <w:p w14:paraId="3493DD36" w14:textId="0434F906" w:rsidR="003F316E" w:rsidRPr="00CD11E4" w:rsidRDefault="003F316E" w:rsidP="00AD6B5E">
            <w:pPr>
              <w:pStyle w:val="TableRowCentered"/>
              <w:numPr>
                <w:ilvl w:val="0"/>
                <w:numId w:val="13"/>
              </w:numPr>
              <w:jc w:val="left"/>
              <w:rPr>
                <w:sz w:val="20"/>
              </w:rPr>
            </w:pPr>
            <w:r w:rsidRPr="003F316E">
              <w:rPr>
                <w:sz w:val="20"/>
              </w:rPr>
              <w:t>100% of new teachers report increased confidence in applying the WGES framework (measured through surveys).</w:t>
            </w:r>
          </w:p>
          <w:p w14:paraId="4DB9BFF3" w14:textId="77777777" w:rsidR="00871656" w:rsidRPr="00CD11E4" w:rsidRDefault="00E62BFE" w:rsidP="00AD6B5E">
            <w:pPr>
              <w:pStyle w:val="TableRowCentered"/>
              <w:numPr>
                <w:ilvl w:val="0"/>
                <w:numId w:val="13"/>
              </w:numPr>
              <w:jc w:val="left"/>
              <w:rPr>
                <w:sz w:val="20"/>
              </w:rPr>
            </w:pPr>
            <w:r w:rsidRPr="00CD11E4">
              <w:rPr>
                <w:sz w:val="20"/>
              </w:rPr>
              <w:t xml:space="preserve">Subject coordinators actively model </w:t>
            </w:r>
            <w:r w:rsidR="00871656" w:rsidRPr="00CD11E4">
              <w:rPr>
                <w:sz w:val="20"/>
              </w:rPr>
              <w:t>best practice.</w:t>
            </w:r>
          </w:p>
          <w:p w14:paraId="181A3D89" w14:textId="77777777" w:rsidR="00871656" w:rsidRPr="00CD11E4" w:rsidRDefault="003F316E" w:rsidP="00AD6B5E">
            <w:pPr>
              <w:pStyle w:val="TableRowCentered"/>
              <w:numPr>
                <w:ilvl w:val="0"/>
                <w:numId w:val="13"/>
              </w:numPr>
              <w:jc w:val="left"/>
              <w:rPr>
                <w:sz w:val="20"/>
              </w:rPr>
            </w:pPr>
            <w:r w:rsidRPr="003F316E">
              <w:rPr>
                <w:sz w:val="20"/>
              </w:rPr>
              <w:t>Evidence from book scrutiny, pupil voice, and planning reviews confirms that WGES strategies are embedded in all subjects.</w:t>
            </w:r>
          </w:p>
          <w:p w14:paraId="75BE065E" w14:textId="77777777" w:rsidR="003B364E" w:rsidRPr="00CD11E4" w:rsidRDefault="003F316E" w:rsidP="00AD6B5E">
            <w:pPr>
              <w:pStyle w:val="TableRowCentered"/>
              <w:numPr>
                <w:ilvl w:val="0"/>
                <w:numId w:val="13"/>
              </w:numPr>
              <w:jc w:val="left"/>
              <w:rPr>
                <w:sz w:val="20"/>
              </w:rPr>
            </w:pPr>
            <w:r w:rsidRPr="003F316E">
              <w:rPr>
                <w:sz w:val="20"/>
              </w:rPr>
              <w:t>Pupil progress data demonstrates sustained or improved attainment across subjects for all cohorts.</w:t>
            </w:r>
          </w:p>
          <w:p w14:paraId="097954D8" w14:textId="77777777" w:rsidR="00A45C0B" w:rsidRPr="00CD11E4" w:rsidRDefault="003F316E" w:rsidP="00AD6B5E">
            <w:pPr>
              <w:pStyle w:val="TableRowCentered"/>
              <w:numPr>
                <w:ilvl w:val="0"/>
                <w:numId w:val="13"/>
              </w:numPr>
              <w:jc w:val="left"/>
              <w:rPr>
                <w:sz w:val="20"/>
              </w:rPr>
            </w:pPr>
            <w:r w:rsidRPr="003F316E">
              <w:rPr>
                <w:sz w:val="20"/>
              </w:rPr>
              <w:t>Pupils articulate a clear understanding of learning routines and expectations, reflecting consistency in classroom practice.</w:t>
            </w:r>
          </w:p>
          <w:p w14:paraId="51E16BB0" w14:textId="6541B9D5" w:rsidR="003F316E" w:rsidRPr="003F316E" w:rsidRDefault="003F316E" w:rsidP="00AD6B5E">
            <w:pPr>
              <w:pStyle w:val="TableRowCentered"/>
              <w:numPr>
                <w:ilvl w:val="0"/>
                <w:numId w:val="13"/>
              </w:numPr>
              <w:jc w:val="left"/>
              <w:rPr>
                <w:sz w:val="20"/>
              </w:rPr>
            </w:pPr>
            <w:r w:rsidRPr="003F316E">
              <w:rPr>
                <w:sz w:val="20"/>
              </w:rPr>
              <w:t>Best practice is shared regularly through staff meetings, coaching cycles, and collaborative planning sessions.</w:t>
            </w:r>
          </w:p>
          <w:p w14:paraId="2A7D5505" w14:textId="77777777" w:rsidR="00E66558" w:rsidRPr="00CD11E4" w:rsidRDefault="00E66558" w:rsidP="003F316E">
            <w:pPr>
              <w:pStyle w:val="TableRowCentered"/>
              <w:jc w:val="left"/>
              <w:rPr>
                <w:sz w:val="20"/>
              </w:rPr>
            </w:pP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8F24D" w14:textId="1DD87F0C" w:rsidR="00D96F1D" w:rsidRPr="00D96F1D" w:rsidRDefault="00D96F1D" w:rsidP="00D96F1D">
            <w:pPr>
              <w:pStyle w:val="TableRow"/>
              <w:rPr>
                <w:sz w:val="20"/>
                <w:szCs w:val="20"/>
              </w:rPr>
            </w:pPr>
            <w:r w:rsidRPr="00D96F1D">
              <w:rPr>
                <w:sz w:val="20"/>
                <w:szCs w:val="20"/>
              </w:rPr>
              <w:t xml:space="preserve">All pupils with from disadvantaged backgrounds </w:t>
            </w:r>
            <w:r w:rsidR="00546432" w:rsidRPr="00D96F1D">
              <w:rPr>
                <w:sz w:val="20"/>
                <w:szCs w:val="20"/>
              </w:rPr>
              <w:t xml:space="preserve">and those </w:t>
            </w:r>
            <w:r w:rsidR="00546432">
              <w:rPr>
                <w:sz w:val="20"/>
                <w:szCs w:val="20"/>
              </w:rPr>
              <w:t xml:space="preserve">with SEND </w:t>
            </w:r>
            <w:r w:rsidRPr="00D96F1D">
              <w:rPr>
                <w:sz w:val="20"/>
                <w:szCs w:val="20"/>
              </w:rPr>
              <w:t xml:space="preserve">are accurately identified, tracked, and supported through a </w:t>
            </w:r>
            <w:r w:rsidR="00546432">
              <w:rPr>
                <w:sz w:val="20"/>
                <w:szCs w:val="20"/>
              </w:rPr>
              <w:t xml:space="preserve">new </w:t>
            </w:r>
            <w:r w:rsidRPr="00D96F1D">
              <w:rPr>
                <w:sz w:val="20"/>
                <w:szCs w:val="20"/>
              </w:rPr>
              <w:t>consistent, evidence-informed system</w:t>
            </w:r>
            <w:r w:rsidR="00546432">
              <w:rPr>
                <w:sz w:val="20"/>
                <w:szCs w:val="20"/>
              </w:rPr>
              <w:t xml:space="preserve"> (AET Progression Framework)</w:t>
            </w:r>
            <w:r w:rsidRPr="00D96F1D">
              <w:rPr>
                <w:sz w:val="20"/>
                <w:szCs w:val="20"/>
              </w:rPr>
              <w:t>. Staff implement inclusive, neurodiverse-affirming practices that promote emotional wellbeing, engagement, and academic progress. Pupils experience timely interventions and an environment where social, emotional, and academic needs are met, enabling them to thrive and achieve their full potential</w:t>
            </w:r>
          </w:p>
          <w:p w14:paraId="2A7D5507" w14:textId="77777777" w:rsidR="00E66558" w:rsidRPr="00CD11E4" w:rsidRDefault="00E66558" w:rsidP="00D96F1D">
            <w:pPr>
              <w:pStyle w:val="TableRow"/>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EA80D" w14:textId="7D445702" w:rsidR="003C266D" w:rsidRPr="003C266D" w:rsidRDefault="003C266D" w:rsidP="00AD6B5E">
            <w:pPr>
              <w:pStyle w:val="TableRow"/>
              <w:numPr>
                <w:ilvl w:val="0"/>
                <w:numId w:val="14"/>
              </w:numPr>
              <w:rPr>
                <w:sz w:val="20"/>
                <w:szCs w:val="20"/>
              </w:rPr>
            </w:pPr>
            <w:r w:rsidRPr="003C266D">
              <w:rPr>
                <w:sz w:val="20"/>
                <w:szCs w:val="20"/>
              </w:rPr>
              <w:t>All pupils with SEND and disadvantaged backgrounds are accurately identified using robust diagnostic tools and teacher observations.</w:t>
            </w:r>
          </w:p>
          <w:p w14:paraId="57C1D635" w14:textId="77777777" w:rsidR="003C266D" w:rsidRPr="003C266D" w:rsidRDefault="003C266D" w:rsidP="00AD6B5E">
            <w:pPr>
              <w:pStyle w:val="TableRow"/>
              <w:numPr>
                <w:ilvl w:val="0"/>
                <w:numId w:val="14"/>
              </w:numPr>
              <w:rPr>
                <w:sz w:val="20"/>
                <w:szCs w:val="20"/>
              </w:rPr>
            </w:pPr>
            <w:r w:rsidRPr="003C266D">
              <w:rPr>
                <w:sz w:val="20"/>
                <w:szCs w:val="20"/>
              </w:rPr>
              <w:t>Individual needs are documented in updated provision maps and pupil profiles, reviewed termly.</w:t>
            </w:r>
          </w:p>
          <w:p w14:paraId="386FDB88" w14:textId="77777777" w:rsidR="003C266D" w:rsidRPr="003C266D" w:rsidRDefault="003C266D" w:rsidP="00AD6B5E">
            <w:pPr>
              <w:pStyle w:val="TableRow"/>
              <w:numPr>
                <w:ilvl w:val="0"/>
                <w:numId w:val="15"/>
              </w:numPr>
              <w:rPr>
                <w:sz w:val="20"/>
                <w:szCs w:val="20"/>
              </w:rPr>
            </w:pPr>
            <w:r w:rsidRPr="003C266D">
              <w:rPr>
                <w:sz w:val="20"/>
                <w:szCs w:val="20"/>
              </w:rPr>
              <w:t>A consistent tracking system is in place, showing progress in academic attainment, social-emotional development, and engagement.</w:t>
            </w:r>
          </w:p>
          <w:p w14:paraId="3645C6E0" w14:textId="77777777" w:rsidR="003C266D" w:rsidRPr="003C266D" w:rsidRDefault="003C266D" w:rsidP="00AD6B5E">
            <w:pPr>
              <w:pStyle w:val="TableRow"/>
              <w:numPr>
                <w:ilvl w:val="0"/>
                <w:numId w:val="15"/>
              </w:numPr>
              <w:rPr>
                <w:sz w:val="20"/>
                <w:szCs w:val="20"/>
              </w:rPr>
            </w:pPr>
            <w:r w:rsidRPr="003C266D">
              <w:rPr>
                <w:sz w:val="20"/>
                <w:szCs w:val="20"/>
              </w:rPr>
              <w:t>Termly data reviews demonstrate measurable improvements in targeted areas for identified pupils.</w:t>
            </w:r>
          </w:p>
          <w:p w14:paraId="28C7E987" w14:textId="68D17D00" w:rsidR="003C266D" w:rsidRPr="003C266D" w:rsidRDefault="003C266D" w:rsidP="00AD6B5E">
            <w:pPr>
              <w:pStyle w:val="TableRow"/>
              <w:numPr>
                <w:ilvl w:val="0"/>
                <w:numId w:val="16"/>
              </w:numPr>
              <w:rPr>
                <w:sz w:val="20"/>
                <w:szCs w:val="20"/>
              </w:rPr>
            </w:pPr>
            <w:r w:rsidRPr="003C266D">
              <w:rPr>
                <w:sz w:val="20"/>
                <w:szCs w:val="20"/>
              </w:rPr>
              <w:t>Personalised interventions for SEND and disadvantaged pupils are implemented and monitored for impact.</w:t>
            </w:r>
          </w:p>
          <w:p w14:paraId="1856B2B1" w14:textId="77777777" w:rsidR="003C266D" w:rsidRPr="003C266D" w:rsidRDefault="003C266D" w:rsidP="00AD6B5E">
            <w:pPr>
              <w:pStyle w:val="TableRow"/>
              <w:numPr>
                <w:ilvl w:val="0"/>
                <w:numId w:val="17"/>
              </w:numPr>
              <w:rPr>
                <w:sz w:val="20"/>
                <w:szCs w:val="20"/>
              </w:rPr>
            </w:pPr>
            <w:r w:rsidRPr="003C266D">
              <w:rPr>
                <w:sz w:val="20"/>
                <w:szCs w:val="20"/>
              </w:rPr>
              <w:t>Lesson observations and learning walks show that neurodiverse-affirming strategies are embedded across classrooms.</w:t>
            </w:r>
          </w:p>
          <w:p w14:paraId="5111F130" w14:textId="77777777" w:rsidR="003C266D" w:rsidRPr="003C266D" w:rsidRDefault="003C266D" w:rsidP="00AD6B5E">
            <w:pPr>
              <w:pStyle w:val="TableRow"/>
              <w:numPr>
                <w:ilvl w:val="0"/>
                <w:numId w:val="17"/>
              </w:numPr>
              <w:rPr>
                <w:sz w:val="20"/>
                <w:szCs w:val="20"/>
              </w:rPr>
            </w:pPr>
            <w:r w:rsidRPr="003C266D">
              <w:rPr>
                <w:sz w:val="20"/>
                <w:szCs w:val="20"/>
              </w:rPr>
              <w:t>Pupil voice indicates that SEND and disadvantaged pupils feel included, supported, and able to access learning.</w:t>
            </w:r>
          </w:p>
          <w:p w14:paraId="05F4C07E" w14:textId="77777777" w:rsidR="003C266D" w:rsidRPr="003C266D" w:rsidRDefault="003C266D" w:rsidP="00AD6B5E">
            <w:pPr>
              <w:pStyle w:val="TableRow"/>
              <w:numPr>
                <w:ilvl w:val="0"/>
                <w:numId w:val="18"/>
              </w:numPr>
              <w:rPr>
                <w:sz w:val="20"/>
                <w:szCs w:val="20"/>
              </w:rPr>
            </w:pPr>
            <w:r w:rsidRPr="003C266D">
              <w:rPr>
                <w:sz w:val="20"/>
                <w:szCs w:val="20"/>
              </w:rPr>
              <w:t>Academic progress for SEND and disadvantaged pupils meets or exceeds FFT targets.</w:t>
            </w:r>
          </w:p>
          <w:p w14:paraId="19895254" w14:textId="77777777" w:rsidR="003C266D" w:rsidRPr="003C266D" w:rsidRDefault="003C266D" w:rsidP="00AD6B5E">
            <w:pPr>
              <w:pStyle w:val="TableRow"/>
              <w:numPr>
                <w:ilvl w:val="0"/>
                <w:numId w:val="18"/>
              </w:numPr>
              <w:rPr>
                <w:sz w:val="20"/>
                <w:szCs w:val="20"/>
              </w:rPr>
            </w:pPr>
            <w:r w:rsidRPr="003C266D">
              <w:rPr>
                <w:sz w:val="20"/>
                <w:szCs w:val="20"/>
              </w:rPr>
              <w:t>SEMH indicators (e.g., reduced dysregulation incidents, improved attendance) show positive trends over the year.</w:t>
            </w:r>
          </w:p>
          <w:p w14:paraId="2A7D5508" w14:textId="77777777" w:rsidR="00E66558" w:rsidRPr="00CD11E4" w:rsidRDefault="00E66558" w:rsidP="00C45AD8">
            <w:pPr>
              <w:pStyle w:val="TableRow"/>
              <w:rPr>
                <w:sz w:val="20"/>
                <w:szCs w:val="20"/>
              </w:rPr>
            </w:pP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C8FB" w14:textId="176C1229" w:rsidR="007D618A" w:rsidRPr="007D618A" w:rsidRDefault="007D618A" w:rsidP="007D618A">
            <w:pPr>
              <w:pStyle w:val="TableRow"/>
              <w:rPr>
                <w:sz w:val="20"/>
                <w:szCs w:val="20"/>
              </w:rPr>
            </w:pPr>
            <w:r w:rsidRPr="007D618A">
              <w:rPr>
                <w:sz w:val="20"/>
                <w:szCs w:val="20"/>
              </w:rPr>
              <w:t xml:space="preserve">Pupils demonstrate improved quality and depth in writing, with </w:t>
            </w:r>
            <w:r w:rsidR="00653AB9">
              <w:rPr>
                <w:sz w:val="20"/>
                <w:szCs w:val="20"/>
              </w:rPr>
              <w:t>above national average progress</w:t>
            </w:r>
            <w:r w:rsidRPr="007D618A">
              <w:rPr>
                <w:sz w:val="20"/>
                <w:szCs w:val="20"/>
              </w:rPr>
              <w:t>. Writing across the school reflects independence, precision, and reflection through consistent use of accurate spelling, and effective proofreading and editing. Pupils show a deeper understanding of how composition choices shape meaning, enabling them to produce well-structured, purposeful texts across the curriculum.</w:t>
            </w:r>
          </w:p>
          <w:p w14:paraId="2A7D550A" w14:textId="1397F663" w:rsidR="00E66558" w:rsidRPr="00CD11E4" w:rsidRDefault="00E66558" w:rsidP="00C31636">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4F3A" w14:textId="77777777" w:rsidR="00B206F6" w:rsidRPr="00CD11E4" w:rsidRDefault="00B206F6" w:rsidP="00AD6B5E">
            <w:pPr>
              <w:pStyle w:val="TableRowCentered"/>
              <w:numPr>
                <w:ilvl w:val="0"/>
                <w:numId w:val="19"/>
              </w:numPr>
              <w:jc w:val="left"/>
              <w:rPr>
                <w:sz w:val="20"/>
              </w:rPr>
            </w:pPr>
            <w:r w:rsidRPr="00B206F6">
              <w:rPr>
                <w:sz w:val="20"/>
              </w:rPr>
              <w:t>All disadvantaged pupils meet or exceed FFT targets for writing, with a reduced gap compared to non-disadvantaged peers.</w:t>
            </w:r>
          </w:p>
          <w:p w14:paraId="309DC45E" w14:textId="77777777" w:rsidR="00B206F6" w:rsidRPr="00CD11E4" w:rsidRDefault="00B206F6" w:rsidP="00AD6B5E">
            <w:pPr>
              <w:pStyle w:val="TableRowCentered"/>
              <w:numPr>
                <w:ilvl w:val="0"/>
                <w:numId w:val="19"/>
              </w:numPr>
              <w:jc w:val="left"/>
              <w:rPr>
                <w:sz w:val="20"/>
              </w:rPr>
            </w:pPr>
            <w:r w:rsidRPr="00B206F6">
              <w:rPr>
                <w:sz w:val="20"/>
              </w:rPr>
              <w:t>Book scrutiny evidences improved composition, accurate spelling, and effective editing across all year groups.</w:t>
            </w:r>
          </w:p>
          <w:p w14:paraId="46F9F7EE" w14:textId="77777777" w:rsidR="003815A8" w:rsidRPr="00CD11E4" w:rsidRDefault="00B206F6" w:rsidP="00AD6B5E">
            <w:pPr>
              <w:pStyle w:val="TableRowCentered"/>
              <w:numPr>
                <w:ilvl w:val="0"/>
                <w:numId w:val="19"/>
              </w:numPr>
              <w:jc w:val="left"/>
              <w:rPr>
                <w:sz w:val="20"/>
              </w:rPr>
            </w:pPr>
            <w:r w:rsidRPr="00CD11E4">
              <w:rPr>
                <w:sz w:val="20"/>
              </w:rPr>
              <w:t>Increased % of HFW and common exception words</w:t>
            </w:r>
          </w:p>
          <w:p w14:paraId="50301E49" w14:textId="77777777" w:rsidR="003815A8" w:rsidRPr="00CD11E4" w:rsidRDefault="00B206F6" w:rsidP="00AD6B5E">
            <w:pPr>
              <w:pStyle w:val="TableRowCentered"/>
              <w:numPr>
                <w:ilvl w:val="0"/>
                <w:numId w:val="19"/>
              </w:numPr>
              <w:jc w:val="left"/>
              <w:rPr>
                <w:sz w:val="20"/>
              </w:rPr>
            </w:pPr>
            <w:r w:rsidRPr="00B206F6">
              <w:rPr>
                <w:sz w:val="20"/>
              </w:rPr>
              <w:t>Pupils independently apply proofreading and editing strategies before publishing work.</w:t>
            </w:r>
          </w:p>
          <w:p w14:paraId="6F86E3AF" w14:textId="77777777" w:rsidR="003815A8" w:rsidRPr="00CD11E4" w:rsidRDefault="00B206F6" w:rsidP="00AD6B5E">
            <w:pPr>
              <w:pStyle w:val="TableRowCentered"/>
              <w:numPr>
                <w:ilvl w:val="0"/>
                <w:numId w:val="19"/>
              </w:numPr>
              <w:jc w:val="left"/>
              <w:rPr>
                <w:sz w:val="20"/>
              </w:rPr>
            </w:pPr>
            <w:r w:rsidRPr="00B206F6">
              <w:rPr>
                <w:sz w:val="20"/>
              </w:rPr>
              <w:t>Increased accuracy in spelling and grammar, measured through diagnostic assessments and termly writing moderation.</w:t>
            </w:r>
          </w:p>
          <w:p w14:paraId="2A7D550B" w14:textId="2C1E738E" w:rsidR="00E66558" w:rsidRPr="00CD11E4" w:rsidRDefault="00B206F6" w:rsidP="00AD6B5E">
            <w:pPr>
              <w:pStyle w:val="TableRowCentered"/>
              <w:numPr>
                <w:ilvl w:val="0"/>
                <w:numId w:val="19"/>
              </w:numPr>
              <w:jc w:val="left"/>
              <w:rPr>
                <w:sz w:val="20"/>
              </w:rPr>
            </w:pPr>
            <w:r w:rsidRPr="00B206F6">
              <w:rPr>
                <w:sz w:val="20"/>
              </w:rPr>
              <w:t xml:space="preserve">All teachers implement agreed writing pedagogy, including </w:t>
            </w:r>
            <w:r w:rsidRPr="00CD11E4">
              <w:rPr>
                <w:sz w:val="20"/>
              </w:rPr>
              <w:t>consistent implementation of the writing toolkit</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94303" w14:textId="27BCD100" w:rsidR="00286408" w:rsidRPr="00286408" w:rsidRDefault="00286408" w:rsidP="00286408">
            <w:pPr>
              <w:pStyle w:val="TableRow"/>
              <w:rPr>
                <w:sz w:val="20"/>
                <w:szCs w:val="20"/>
              </w:rPr>
            </w:pPr>
            <w:r w:rsidRPr="00286408">
              <w:rPr>
                <w:sz w:val="20"/>
                <w:szCs w:val="20"/>
              </w:rPr>
              <w:t xml:space="preserve">Staff consistently apply relational approaches and model </w:t>
            </w:r>
            <w:r>
              <w:rPr>
                <w:sz w:val="20"/>
                <w:szCs w:val="20"/>
              </w:rPr>
              <w:t xml:space="preserve">regulation </w:t>
            </w:r>
            <w:r w:rsidRPr="00286408">
              <w:rPr>
                <w:sz w:val="20"/>
                <w:szCs w:val="20"/>
              </w:rPr>
              <w:t>strategies, creating an emotionally attuned environment that supports connection, and restorative behaviour. Pupils develop the language and skills to recognise and manage emotions, enabling improved wellbeing, positive relationships, and readiness to learn across the curriculum</w:t>
            </w:r>
          </w:p>
          <w:p w14:paraId="2A7D550D" w14:textId="49022877" w:rsidR="00E66558" w:rsidRPr="00CD11E4" w:rsidRDefault="00E66558" w:rsidP="00C31636">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EEA98" w14:textId="77777777" w:rsidR="00421B07" w:rsidRPr="00CD11E4" w:rsidRDefault="00421B07" w:rsidP="00AD6B5E">
            <w:pPr>
              <w:pStyle w:val="TableRowCentered"/>
              <w:numPr>
                <w:ilvl w:val="0"/>
                <w:numId w:val="20"/>
              </w:numPr>
              <w:jc w:val="left"/>
              <w:rPr>
                <w:sz w:val="20"/>
              </w:rPr>
            </w:pPr>
            <w:r w:rsidRPr="00421B07">
              <w:rPr>
                <w:sz w:val="20"/>
              </w:rPr>
              <w:t>All classrooms display and use agreed emotional regulation tools (e.g., Zones of Regulation, calm spaces).</w:t>
            </w:r>
          </w:p>
          <w:p w14:paraId="1B83E095" w14:textId="77777777" w:rsidR="00421B07" w:rsidRPr="00CD11E4" w:rsidRDefault="00421B07" w:rsidP="00AD6B5E">
            <w:pPr>
              <w:pStyle w:val="TableRowCentered"/>
              <w:numPr>
                <w:ilvl w:val="0"/>
                <w:numId w:val="20"/>
              </w:numPr>
              <w:jc w:val="left"/>
              <w:rPr>
                <w:sz w:val="20"/>
              </w:rPr>
            </w:pPr>
            <w:r w:rsidRPr="00421B07">
              <w:rPr>
                <w:sz w:val="20"/>
              </w:rPr>
              <w:t>Lesson observations and learning walks confirm that relational approaches are embedded across all phases.</w:t>
            </w:r>
          </w:p>
          <w:p w14:paraId="10584C12" w14:textId="77777777" w:rsidR="00421B07" w:rsidRPr="00CD11E4" w:rsidRDefault="00421B07" w:rsidP="00AD6B5E">
            <w:pPr>
              <w:pStyle w:val="TableRowCentered"/>
              <w:numPr>
                <w:ilvl w:val="0"/>
                <w:numId w:val="20"/>
              </w:numPr>
              <w:jc w:val="left"/>
              <w:rPr>
                <w:sz w:val="20"/>
              </w:rPr>
            </w:pPr>
            <w:r w:rsidRPr="00421B07">
              <w:rPr>
                <w:sz w:val="20"/>
              </w:rPr>
              <w:t>100% of staff complete CPD on relational practice and emotional literacy.</w:t>
            </w:r>
          </w:p>
          <w:p w14:paraId="33EC0D0F" w14:textId="77777777" w:rsidR="00421B07" w:rsidRPr="00CD11E4" w:rsidRDefault="00421B07" w:rsidP="00AD6B5E">
            <w:pPr>
              <w:pStyle w:val="TableRowCentered"/>
              <w:numPr>
                <w:ilvl w:val="0"/>
                <w:numId w:val="20"/>
              </w:numPr>
              <w:jc w:val="left"/>
              <w:rPr>
                <w:sz w:val="20"/>
              </w:rPr>
            </w:pPr>
            <w:r w:rsidRPr="00421B07">
              <w:rPr>
                <w:sz w:val="20"/>
              </w:rPr>
              <w:t>Pupil voice demonstrates understanding of emotional vocabulary and strategies for self-regulation.</w:t>
            </w:r>
          </w:p>
          <w:p w14:paraId="41B1E438" w14:textId="77777777" w:rsidR="006133BD" w:rsidRPr="00CD11E4" w:rsidRDefault="00421B07" w:rsidP="00AD6B5E">
            <w:pPr>
              <w:pStyle w:val="TableRowCentered"/>
              <w:numPr>
                <w:ilvl w:val="0"/>
                <w:numId w:val="20"/>
              </w:numPr>
              <w:jc w:val="left"/>
              <w:rPr>
                <w:sz w:val="20"/>
              </w:rPr>
            </w:pPr>
            <w:r w:rsidRPr="00421B07">
              <w:rPr>
                <w:sz w:val="20"/>
              </w:rPr>
              <w:t>Pupils can identify emotions and use agreed strategies independently or with minimal support.</w:t>
            </w:r>
          </w:p>
          <w:p w14:paraId="17827083" w14:textId="77777777" w:rsidR="006133BD" w:rsidRPr="00CD11E4" w:rsidRDefault="00421B07" w:rsidP="00AD6B5E">
            <w:pPr>
              <w:pStyle w:val="TableRowCentered"/>
              <w:numPr>
                <w:ilvl w:val="0"/>
                <w:numId w:val="20"/>
              </w:numPr>
              <w:jc w:val="left"/>
              <w:rPr>
                <w:sz w:val="20"/>
              </w:rPr>
            </w:pPr>
            <w:r w:rsidRPr="00421B07">
              <w:rPr>
                <w:sz w:val="20"/>
              </w:rPr>
              <w:t>Reduction in dysregulation incidents and behaviour referrals compared t</w:t>
            </w:r>
            <w:r w:rsidRPr="00CD11E4">
              <w:rPr>
                <w:sz w:val="20"/>
              </w:rPr>
              <w:t xml:space="preserve">o </w:t>
            </w:r>
            <w:r w:rsidRPr="00421B07">
              <w:rPr>
                <w:sz w:val="20"/>
              </w:rPr>
              <w:t>baseline.</w:t>
            </w:r>
          </w:p>
          <w:p w14:paraId="079F6993" w14:textId="77777777" w:rsidR="006133BD" w:rsidRPr="00CD11E4" w:rsidRDefault="00421B07" w:rsidP="00AD6B5E">
            <w:pPr>
              <w:pStyle w:val="TableRowCentered"/>
              <w:numPr>
                <w:ilvl w:val="0"/>
                <w:numId w:val="20"/>
              </w:numPr>
              <w:jc w:val="left"/>
              <w:rPr>
                <w:sz w:val="20"/>
              </w:rPr>
            </w:pPr>
            <w:r w:rsidRPr="00421B07">
              <w:rPr>
                <w:sz w:val="20"/>
              </w:rPr>
              <w:t>Improved attendance and engagement for pupils previously identified as at risk due to SEMH needs.</w:t>
            </w:r>
          </w:p>
          <w:p w14:paraId="53C700ED" w14:textId="77777777" w:rsidR="006133BD" w:rsidRPr="00CD11E4" w:rsidRDefault="00421B07" w:rsidP="00AD6B5E">
            <w:pPr>
              <w:pStyle w:val="TableRowCentered"/>
              <w:numPr>
                <w:ilvl w:val="0"/>
                <w:numId w:val="20"/>
              </w:numPr>
              <w:jc w:val="left"/>
              <w:rPr>
                <w:sz w:val="20"/>
              </w:rPr>
            </w:pPr>
            <w:r w:rsidRPr="00421B07">
              <w:rPr>
                <w:sz w:val="20"/>
              </w:rPr>
              <w:t>Behaviour logs show increased use of restorative conversations and reduced punitive measures.</w:t>
            </w:r>
          </w:p>
          <w:p w14:paraId="2A7D550E" w14:textId="4065F18A" w:rsidR="00E66558" w:rsidRPr="00AA5238" w:rsidRDefault="00421B07" w:rsidP="00AD6B5E">
            <w:pPr>
              <w:pStyle w:val="TableRowCentered"/>
              <w:numPr>
                <w:ilvl w:val="0"/>
                <w:numId w:val="20"/>
              </w:numPr>
              <w:jc w:val="left"/>
              <w:rPr>
                <w:sz w:val="20"/>
              </w:rPr>
            </w:pPr>
            <w:r w:rsidRPr="00421B07">
              <w:rPr>
                <w:sz w:val="20"/>
              </w:rPr>
              <w:t>Pupils demonstrate improved readiness to learn, reflected in progress data and classroom engagement.</w:t>
            </w:r>
          </w:p>
        </w:tc>
      </w:tr>
      <w:tr w:rsidR="00024B10" w14:paraId="1087940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DABE" w14:textId="35B9FC96" w:rsidR="00EC3D09" w:rsidRPr="00EC3D09" w:rsidRDefault="00EC3D09" w:rsidP="00EC3D09">
            <w:pPr>
              <w:pStyle w:val="TableRow"/>
              <w:rPr>
                <w:sz w:val="20"/>
                <w:szCs w:val="20"/>
              </w:rPr>
            </w:pPr>
            <w:r w:rsidRPr="00EC3D09">
              <w:rPr>
                <w:sz w:val="20"/>
                <w:szCs w:val="20"/>
              </w:rPr>
              <w:t>All pupils, including those from disadvantaged backgrounds</w:t>
            </w:r>
            <w:r>
              <w:rPr>
                <w:sz w:val="20"/>
                <w:szCs w:val="20"/>
              </w:rPr>
              <w:t xml:space="preserve"> and SEND</w:t>
            </w:r>
            <w:r w:rsidRPr="00EC3D09">
              <w:rPr>
                <w:sz w:val="20"/>
                <w:szCs w:val="20"/>
              </w:rPr>
              <w:t>, develop secure fluency and automaticity in multiplication facts. Year 4 outcomes improve, with a higher proportion achieving full marks (25/25) in the MTC. Pupils demonstrate confidence in mathematical oracy and apply multiplication knowledge accurately in reasoning and problem-solving, reducing cognitive load and enabling access to higher-level mathematical concepts.</w:t>
            </w:r>
          </w:p>
          <w:p w14:paraId="6B19CB1C" w14:textId="11707C5C" w:rsidR="00024B10" w:rsidRPr="00CD11E4" w:rsidRDefault="00024B10" w:rsidP="00C31636">
            <w:pPr>
              <w:pStyle w:val="TableRow"/>
              <w:ind w:left="0" w:right="0"/>
              <w:rPr>
                <w:sz w:val="20"/>
                <w:szCs w:val="20"/>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F8110" w14:textId="33DAA28B" w:rsidR="00104718" w:rsidRPr="00CD11E4" w:rsidRDefault="00104718" w:rsidP="00AD6B5E">
            <w:pPr>
              <w:pStyle w:val="TableRowCentered"/>
              <w:numPr>
                <w:ilvl w:val="0"/>
                <w:numId w:val="21"/>
              </w:numPr>
              <w:jc w:val="left"/>
              <w:rPr>
                <w:sz w:val="20"/>
              </w:rPr>
            </w:pPr>
            <w:r w:rsidRPr="00104718">
              <w:rPr>
                <w:sz w:val="20"/>
              </w:rPr>
              <w:t xml:space="preserve">Year 4 pupils achieving full marks (25/25) in the MTC increases by </w:t>
            </w:r>
            <w:r w:rsidRPr="00104718">
              <w:rPr>
                <w:b/>
                <w:bCs/>
                <w:sz w:val="20"/>
              </w:rPr>
              <w:t>at least 10</w:t>
            </w:r>
            <w:r w:rsidR="00E24E9B">
              <w:rPr>
                <w:b/>
                <w:bCs/>
                <w:sz w:val="20"/>
              </w:rPr>
              <w:t xml:space="preserve"> </w:t>
            </w:r>
            <w:r w:rsidRPr="00104718">
              <w:rPr>
                <w:b/>
                <w:bCs/>
                <w:sz w:val="20"/>
              </w:rPr>
              <w:t>percentage points</w:t>
            </w:r>
            <w:r w:rsidRPr="00104718">
              <w:rPr>
                <w:sz w:val="20"/>
              </w:rPr>
              <w:t xml:space="preserve"> compared to the previous year.</w:t>
            </w:r>
          </w:p>
          <w:p w14:paraId="175437CE" w14:textId="737E87A5" w:rsidR="00104718" w:rsidRPr="00CD11E4" w:rsidRDefault="00104718" w:rsidP="00AD6B5E">
            <w:pPr>
              <w:pStyle w:val="TableRowCentered"/>
              <w:numPr>
                <w:ilvl w:val="0"/>
                <w:numId w:val="21"/>
              </w:numPr>
              <w:jc w:val="left"/>
              <w:rPr>
                <w:sz w:val="20"/>
              </w:rPr>
            </w:pPr>
            <w:r w:rsidRPr="00104718">
              <w:rPr>
                <w:sz w:val="20"/>
              </w:rPr>
              <w:t xml:space="preserve">Average MTC score for disadvantaged pupils rises to </w:t>
            </w:r>
            <w:r w:rsidRPr="00104718">
              <w:rPr>
                <w:b/>
                <w:bCs/>
                <w:sz w:val="20"/>
              </w:rPr>
              <w:t>21.5</w:t>
            </w:r>
            <w:r w:rsidRPr="00104718">
              <w:rPr>
                <w:sz w:val="20"/>
              </w:rPr>
              <w:t xml:space="preserve">, narrowing the gap with non-disadvantaged peers to </w:t>
            </w:r>
            <w:r w:rsidRPr="00104718">
              <w:rPr>
                <w:b/>
                <w:bCs/>
                <w:sz w:val="20"/>
              </w:rPr>
              <w:t>2 points</w:t>
            </w:r>
          </w:p>
          <w:p w14:paraId="217E4974" w14:textId="77777777" w:rsidR="00104718" w:rsidRPr="00CD11E4" w:rsidRDefault="00104718" w:rsidP="00AD6B5E">
            <w:pPr>
              <w:pStyle w:val="TableRowCentered"/>
              <w:numPr>
                <w:ilvl w:val="0"/>
                <w:numId w:val="21"/>
              </w:numPr>
              <w:jc w:val="left"/>
              <w:rPr>
                <w:sz w:val="20"/>
              </w:rPr>
            </w:pPr>
            <w:r w:rsidRPr="00104718">
              <w:rPr>
                <w:sz w:val="20"/>
              </w:rPr>
              <w:t>Weekly fluency checks and termly assessments</w:t>
            </w:r>
            <w:r w:rsidRPr="00CD11E4">
              <w:rPr>
                <w:sz w:val="20"/>
              </w:rPr>
              <w:t xml:space="preserve"> across each cohort</w:t>
            </w:r>
            <w:r w:rsidRPr="00104718">
              <w:rPr>
                <w:sz w:val="20"/>
              </w:rPr>
              <w:t xml:space="preserve"> show sustained improvement in recall speed and accuracy of multiplication facts across all year groups.</w:t>
            </w:r>
          </w:p>
          <w:p w14:paraId="40451920" w14:textId="77777777" w:rsidR="00165C87" w:rsidRPr="00CD11E4" w:rsidRDefault="00104718" w:rsidP="00AD6B5E">
            <w:pPr>
              <w:pStyle w:val="TableRowCentered"/>
              <w:numPr>
                <w:ilvl w:val="0"/>
                <w:numId w:val="21"/>
              </w:numPr>
              <w:jc w:val="left"/>
              <w:rPr>
                <w:sz w:val="20"/>
              </w:rPr>
            </w:pPr>
            <w:r w:rsidRPr="00104718">
              <w:rPr>
                <w:sz w:val="20"/>
              </w:rPr>
              <w:t>Daily fluency sessions embedded in classroom routines across KS2, with targeted interventions for pupils below benchmark.</w:t>
            </w:r>
          </w:p>
          <w:p w14:paraId="70B9235C" w14:textId="77777777" w:rsidR="00165C87" w:rsidRPr="00CD11E4" w:rsidRDefault="00104718" w:rsidP="00AD6B5E">
            <w:pPr>
              <w:pStyle w:val="TableRowCentered"/>
              <w:numPr>
                <w:ilvl w:val="0"/>
                <w:numId w:val="21"/>
              </w:numPr>
              <w:jc w:val="left"/>
              <w:rPr>
                <w:sz w:val="20"/>
              </w:rPr>
            </w:pPr>
            <w:r w:rsidRPr="00104718">
              <w:rPr>
                <w:sz w:val="20"/>
              </w:rPr>
              <w:t>Evidence from planning and learning walks confirms consistent use of agreed strategies (e.g., retrieval practice, low-stakes quizzes).</w:t>
            </w:r>
          </w:p>
          <w:p w14:paraId="46870629" w14:textId="77777777" w:rsidR="00165C87" w:rsidRPr="00CD11E4" w:rsidRDefault="00104718" w:rsidP="00AD6B5E">
            <w:pPr>
              <w:pStyle w:val="TableRowCentered"/>
              <w:numPr>
                <w:ilvl w:val="0"/>
                <w:numId w:val="21"/>
              </w:numPr>
              <w:jc w:val="left"/>
              <w:rPr>
                <w:sz w:val="20"/>
              </w:rPr>
            </w:pPr>
            <w:r w:rsidRPr="00104718">
              <w:rPr>
                <w:sz w:val="20"/>
              </w:rPr>
              <w:t>SEND and disadvantaged pupils access tailored support (e.g., precision teaching, scaffolded fluency tasks) and show measurable progress.</w:t>
            </w:r>
          </w:p>
          <w:p w14:paraId="5791D43A" w14:textId="5129917C" w:rsidR="00024B10" w:rsidRPr="00CD11E4" w:rsidRDefault="00104718" w:rsidP="00AD6B5E">
            <w:pPr>
              <w:pStyle w:val="TableRowCentered"/>
              <w:numPr>
                <w:ilvl w:val="0"/>
                <w:numId w:val="21"/>
              </w:numPr>
              <w:jc w:val="left"/>
              <w:rPr>
                <w:sz w:val="20"/>
              </w:rPr>
            </w:pPr>
            <w:r w:rsidRPr="00104718">
              <w:rPr>
                <w:sz w:val="20"/>
              </w:rPr>
              <w:t>Improved fluency reflected in stronger outcomes in reasoning strands of termly maths assessments.</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8059B83" w:rsidR="00E66558" w:rsidRDefault="009D71E8">
      <w:r>
        <w:t>Budgeted cost: £</w:t>
      </w:r>
      <w:r w:rsidR="00D73D00">
        <w:t>32,000</w:t>
      </w:r>
    </w:p>
    <w:tbl>
      <w:tblPr>
        <w:tblW w:w="5000" w:type="pct"/>
        <w:tblLayout w:type="fixed"/>
        <w:tblCellMar>
          <w:left w:w="10" w:type="dxa"/>
          <w:right w:w="10" w:type="dxa"/>
        </w:tblCellMar>
        <w:tblLook w:val="04A0" w:firstRow="1" w:lastRow="0" w:firstColumn="1" w:lastColumn="0" w:noHBand="0" w:noVBand="1"/>
      </w:tblPr>
      <w:tblGrid>
        <w:gridCol w:w="3823"/>
        <w:gridCol w:w="4677"/>
        <w:gridCol w:w="986"/>
      </w:tblGrid>
      <w:tr w:rsidR="00E66558" w14:paraId="2A7D5519"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F47628" w:rsidRDefault="009D71E8" w:rsidP="00C31636">
            <w:pPr>
              <w:pStyle w:val="TableHeader"/>
              <w:ind w:left="0" w:right="0"/>
              <w:jc w:val="left"/>
              <w:rPr>
                <w:sz w:val="20"/>
                <w:szCs w:val="20"/>
              </w:rPr>
            </w:pPr>
            <w:r w:rsidRPr="00F47628">
              <w:rPr>
                <w:sz w:val="20"/>
                <w:szCs w:val="20"/>
              </w:rPr>
              <w:t>Activity</w:t>
            </w:r>
          </w:p>
        </w:tc>
        <w:tc>
          <w:tcPr>
            <w:tcW w:w="46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F47628" w:rsidRDefault="009D71E8" w:rsidP="00C31636">
            <w:pPr>
              <w:pStyle w:val="TableHeader"/>
              <w:ind w:left="0" w:right="0"/>
              <w:jc w:val="left"/>
              <w:rPr>
                <w:sz w:val="20"/>
                <w:szCs w:val="20"/>
              </w:rPr>
            </w:pPr>
            <w:r w:rsidRPr="00F47628">
              <w:rPr>
                <w:sz w:val="20"/>
                <w:szCs w:val="20"/>
              </w:rPr>
              <w:t>Evidence that supports this approach</w:t>
            </w:r>
          </w:p>
        </w:tc>
        <w:tc>
          <w:tcPr>
            <w:tcW w:w="98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22D68A95" w:rsidR="00E66558" w:rsidRPr="00F47628" w:rsidRDefault="009D71E8" w:rsidP="00C31636">
            <w:pPr>
              <w:pStyle w:val="TableHeader"/>
              <w:ind w:left="0" w:right="0"/>
              <w:jc w:val="left"/>
              <w:rPr>
                <w:sz w:val="20"/>
                <w:szCs w:val="20"/>
              </w:rPr>
            </w:pPr>
            <w:r w:rsidRPr="00F47628">
              <w:rPr>
                <w:sz w:val="20"/>
                <w:szCs w:val="20"/>
              </w:rPr>
              <w:t>Challenge number</w:t>
            </w:r>
          </w:p>
        </w:tc>
      </w:tr>
      <w:tr w:rsidR="00E66558" w14:paraId="2A7D551D"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656B6" w14:textId="77777777" w:rsidR="003F72A2" w:rsidRPr="00C53002" w:rsidRDefault="003F72A2" w:rsidP="003F72A2">
            <w:pPr>
              <w:pStyle w:val="TableRow"/>
              <w:rPr>
                <w:rFonts w:cs="Arial"/>
                <w:sz w:val="20"/>
                <w:szCs w:val="20"/>
              </w:rPr>
            </w:pPr>
            <w:r w:rsidRPr="00C53002">
              <w:rPr>
                <w:rFonts w:cs="Arial"/>
                <w:sz w:val="20"/>
                <w:szCs w:val="20"/>
              </w:rPr>
              <w:t>Employment of teaching assistants to support through QFT and targeted intervention to close the attainment gap and nurture personal development.</w:t>
            </w:r>
          </w:p>
          <w:p w14:paraId="2A7D551A" w14:textId="20A0995A" w:rsidR="00E66558" w:rsidRPr="00C53002" w:rsidRDefault="00E66558" w:rsidP="00C31636">
            <w:pPr>
              <w:pStyle w:val="TableRow"/>
              <w:ind w:left="0" w:right="0"/>
              <w:rPr>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B8823" w14:textId="77777777" w:rsidR="0045683F" w:rsidRPr="00C53002" w:rsidRDefault="0045683F" w:rsidP="0045683F">
            <w:pPr>
              <w:rPr>
                <w:rFonts w:cs="Arial"/>
                <w:sz w:val="20"/>
                <w:szCs w:val="20"/>
              </w:rPr>
            </w:pPr>
            <w:r w:rsidRPr="00C53002">
              <w:rPr>
                <w:rFonts w:cs="Arial"/>
                <w:sz w:val="20"/>
                <w:szCs w:val="20"/>
              </w:rPr>
              <w:t xml:space="preserve">Strong teaching is the most influential factor in improving the academic outcomes of disadvantaged pupils of all abilities. It will also close the attainment gap between disadvantaged pupils and their peers across the county. </w:t>
            </w:r>
          </w:p>
          <w:p w14:paraId="7F129D66" w14:textId="77777777" w:rsidR="0045683F" w:rsidRPr="00C53002" w:rsidRDefault="00AD6B5E" w:rsidP="0045683F">
            <w:pPr>
              <w:rPr>
                <w:rFonts w:cs="Arial"/>
                <w:color w:val="0070C0"/>
                <w:sz w:val="20"/>
                <w:szCs w:val="20"/>
              </w:rPr>
            </w:pPr>
            <w:hyperlink r:id="rId10" w:history="1">
              <w:r w:rsidR="0045683F" w:rsidRPr="00C53002">
                <w:rPr>
                  <w:rStyle w:val="Hyperlink"/>
                  <w:rFonts w:cs="Arial"/>
                  <w:color w:val="0070C0"/>
                  <w:sz w:val="20"/>
                  <w:szCs w:val="20"/>
                </w:rPr>
                <w:t>https://educationendowmentfoundation.org.uk/evidence-summaries/teaching-learning-toolkit/meta-cognition-and-self-regulation/</w:t>
              </w:r>
            </w:hyperlink>
          </w:p>
          <w:p w14:paraId="082D4779" w14:textId="77777777" w:rsidR="0045683F" w:rsidRPr="00C53002" w:rsidRDefault="0045683F" w:rsidP="0045683F">
            <w:pPr>
              <w:rPr>
                <w:rFonts w:cs="Arial"/>
                <w:sz w:val="20"/>
                <w:szCs w:val="20"/>
                <w:shd w:val="clear" w:color="auto" w:fill="FFFFFF"/>
              </w:rPr>
            </w:pPr>
            <w:r w:rsidRPr="00C53002">
              <w:rPr>
                <w:rFonts w:cs="Arial"/>
                <w:sz w:val="20"/>
                <w:szCs w:val="20"/>
                <w:shd w:val="clear" w:color="auto" w:fill="FFFFFF"/>
              </w:rPr>
              <w:t>Metacognition and self-regulation approaches aim to help pupils think about their own learning more explicitly, often by teaching them specific strategies for planning, monitoring and evaluating their learning.</w:t>
            </w:r>
          </w:p>
          <w:p w14:paraId="4C1B9259" w14:textId="77777777" w:rsidR="0045683F" w:rsidRPr="00C53002" w:rsidRDefault="0045683F" w:rsidP="0045683F">
            <w:pPr>
              <w:rPr>
                <w:rFonts w:cs="Arial"/>
                <w:sz w:val="20"/>
                <w:szCs w:val="20"/>
                <w:shd w:val="clear" w:color="auto" w:fill="FFFFFF"/>
              </w:rPr>
            </w:pPr>
            <w:r w:rsidRPr="00C53002">
              <w:rPr>
                <w:rFonts w:cs="Arial"/>
                <w:sz w:val="20"/>
                <w:szCs w:val="20"/>
                <w:shd w:val="clear" w:color="auto" w:fill="FFFFFF"/>
              </w:rPr>
              <w:t>These strategies are usually more effective when taught in collaborative groups, so that learners can support each other and make their thinking explicit through discussion</w:t>
            </w:r>
          </w:p>
          <w:p w14:paraId="2A7D551B" w14:textId="77777777" w:rsidR="00E66558" w:rsidRPr="00C53002" w:rsidRDefault="00E66558" w:rsidP="00C31636">
            <w:pPr>
              <w:pStyle w:val="TableRowCentered"/>
              <w:ind w:left="0" w:right="0"/>
              <w:jc w:val="left"/>
              <w:rPr>
                <w:sz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89D57" w14:textId="77777777" w:rsidR="0097759A" w:rsidRDefault="0097759A" w:rsidP="0097759A">
            <w:pPr>
              <w:pStyle w:val="TableRowCentered"/>
              <w:jc w:val="left"/>
              <w:rPr>
                <w:sz w:val="20"/>
              </w:rPr>
            </w:pPr>
            <w:r>
              <w:rPr>
                <w:sz w:val="20"/>
              </w:rPr>
              <w:t>1</w:t>
            </w:r>
          </w:p>
          <w:p w14:paraId="6628DAFC" w14:textId="77777777" w:rsidR="0097759A" w:rsidRDefault="0097759A" w:rsidP="0097759A">
            <w:pPr>
              <w:pStyle w:val="TableRowCentered"/>
              <w:jc w:val="left"/>
              <w:rPr>
                <w:sz w:val="20"/>
              </w:rPr>
            </w:pPr>
            <w:r>
              <w:rPr>
                <w:sz w:val="20"/>
              </w:rPr>
              <w:t>2</w:t>
            </w:r>
          </w:p>
          <w:p w14:paraId="4865E138" w14:textId="77777777" w:rsidR="0097759A" w:rsidRDefault="0097759A" w:rsidP="0097759A">
            <w:pPr>
              <w:pStyle w:val="TableRowCentered"/>
              <w:jc w:val="left"/>
              <w:rPr>
                <w:sz w:val="20"/>
              </w:rPr>
            </w:pPr>
            <w:r>
              <w:rPr>
                <w:sz w:val="20"/>
              </w:rPr>
              <w:t>3</w:t>
            </w:r>
          </w:p>
          <w:p w14:paraId="077DFBDC" w14:textId="77777777" w:rsidR="0097759A" w:rsidRDefault="0097759A" w:rsidP="0097759A">
            <w:pPr>
              <w:pStyle w:val="TableRowCentered"/>
              <w:jc w:val="left"/>
              <w:rPr>
                <w:sz w:val="20"/>
              </w:rPr>
            </w:pPr>
            <w:r>
              <w:rPr>
                <w:sz w:val="20"/>
              </w:rPr>
              <w:t>4</w:t>
            </w:r>
          </w:p>
          <w:p w14:paraId="2A7D551C" w14:textId="0733EA96" w:rsidR="00E66558" w:rsidRDefault="0097759A" w:rsidP="0097759A">
            <w:pPr>
              <w:pStyle w:val="TableRowCentered"/>
              <w:ind w:left="0" w:right="0"/>
              <w:jc w:val="left"/>
              <w:rPr>
                <w:sz w:val="22"/>
              </w:rPr>
            </w:pPr>
            <w:r>
              <w:rPr>
                <w:sz w:val="20"/>
              </w:rPr>
              <w:t>5</w:t>
            </w:r>
          </w:p>
        </w:tc>
      </w:tr>
      <w:tr w:rsidR="00E66558" w14:paraId="2A7D5521"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590ACF13" w:rsidR="00E66558" w:rsidRPr="00C53002" w:rsidRDefault="004439C2" w:rsidP="00C31636">
            <w:pPr>
              <w:pStyle w:val="TableRow"/>
              <w:ind w:left="0" w:right="0"/>
              <w:rPr>
                <w:i/>
                <w:sz w:val="20"/>
                <w:szCs w:val="20"/>
              </w:rPr>
            </w:pPr>
            <w:r w:rsidRPr="00C53002">
              <w:rPr>
                <w:rFonts w:cs="Arial"/>
                <w:sz w:val="20"/>
                <w:szCs w:val="20"/>
              </w:rPr>
              <w:t>Fluency activities planned daily in the classrooms, opportunities for enhanced</w:t>
            </w:r>
            <w:r w:rsidR="002A4F9D" w:rsidRPr="00C53002">
              <w:rPr>
                <w:rFonts w:cs="Arial"/>
                <w:sz w:val="20"/>
                <w:szCs w:val="20"/>
              </w:rPr>
              <w:t xml:space="preserve"> multiplication</w:t>
            </w:r>
            <w:r w:rsidRPr="00C53002">
              <w:rPr>
                <w:rFonts w:cs="Arial"/>
                <w:sz w:val="20"/>
                <w:szCs w:val="20"/>
              </w:rPr>
              <w:t xml:space="preserve"> fluency tasks through planned booster sessions.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A47E8" w14:textId="77777777" w:rsidR="002A4F9D" w:rsidRPr="00C53002" w:rsidRDefault="00AD6B5E" w:rsidP="00AD6B5E">
            <w:pPr>
              <w:pStyle w:val="ListParagraph"/>
              <w:numPr>
                <w:ilvl w:val="0"/>
                <w:numId w:val="23"/>
              </w:numPr>
              <w:suppressAutoHyphens w:val="0"/>
              <w:autoSpaceDN/>
              <w:spacing w:after="0" w:line="240" w:lineRule="auto"/>
              <w:rPr>
                <w:rFonts w:cs="Arial"/>
                <w:sz w:val="20"/>
                <w:szCs w:val="20"/>
              </w:rPr>
            </w:pPr>
            <w:hyperlink r:id="rId11" w:history="1">
              <w:r w:rsidR="002A4F9D" w:rsidRPr="00C53002">
                <w:rPr>
                  <w:rStyle w:val="Hyperlink"/>
                  <w:rFonts w:cs="Arial"/>
                  <w:sz w:val="20"/>
                  <w:szCs w:val="20"/>
                </w:rPr>
                <w:t>Improving Mathematics in the Early Years and Key Stage 1 | EEF</w:t>
              </w:r>
            </w:hyperlink>
          </w:p>
          <w:p w14:paraId="3855709D" w14:textId="77777777" w:rsidR="002A4F9D" w:rsidRPr="00C53002" w:rsidRDefault="00AD6B5E" w:rsidP="00AD6B5E">
            <w:pPr>
              <w:pStyle w:val="ListParagraph"/>
              <w:numPr>
                <w:ilvl w:val="0"/>
                <w:numId w:val="23"/>
              </w:numPr>
              <w:suppressAutoHyphens w:val="0"/>
              <w:autoSpaceDN/>
              <w:spacing w:after="0" w:line="240" w:lineRule="auto"/>
              <w:rPr>
                <w:rFonts w:cs="Arial"/>
                <w:sz w:val="20"/>
                <w:szCs w:val="20"/>
              </w:rPr>
            </w:pPr>
            <w:hyperlink r:id="rId12" w:history="1">
              <w:r w:rsidR="002A4F9D" w:rsidRPr="00C53002">
                <w:rPr>
                  <w:rStyle w:val="Hyperlink"/>
                  <w:rFonts w:cs="Arial"/>
                  <w:sz w:val="20"/>
                  <w:szCs w:val="20"/>
                </w:rPr>
                <w:t>Improving Mathematics in Key Stages 2 and 3 | EEF</w:t>
              </w:r>
            </w:hyperlink>
          </w:p>
          <w:p w14:paraId="40CE0F14" w14:textId="77777777" w:rsidR="002A4F9D" w:rsidRPr="00C53002" w:rsidRDefault="002A4F9D" w:rsidP="00AD6B5E">
            <w:pPr>
              <w:pStyle w:val="ListParagraph"/>
              <w:numPr>
                <w:ilvl w:val="0"/>
                <w:numId w:val="23"/>
              </w:numPr>
              <w:spacing w:after="0"/>
              <w:rPr>
                <w:rFonts w:cs="Arial"/>
                <w:sz w:val="20"/>
                <w:szCs w:val="20"/>
              </w:rPr>
            </w:pPr>
            <w:r w:rsidRPr="00C53002">
              <w:rPr>
                <w:rFonts w:cs="Arial"/>
                <w:sz w:val="20"/>
                <w:szCs w:val="20"/>
              </w:rPr>
              <w:t>Use assessment to build on pupils’ existing knowledge and understanding</w:t>
            </w:r>
          </w:p>
          <w:p w14:paraId="3C253627" w14:textId="77777777" w:rsidR="002A4F9D" w:rsidRPr="00C53002" w:rsidRDefault="002A4F9D" w:rsidP="00AD6B5E">
            <w:pPr>
              <w:pStyle w:val="ListParagraph"/>
              <w:numPr>
                <w:ilvl w:val="0"/>
                <w:numId w:val="23"/>
              </w:numPr>
              <w:spacing w:after="0"/>
              <w:rPr>
                <w:rFonts w:cs="Arial"/>
                <w:sz w:val="20"/>
                <w:szCs w:val="20"/>
              </w:rPr>
            </w:pPr>
            <w:r w:rsidRPr="00C53002">
              <w:rPr>
                <w:rFonts w:cs="Arial"/>
                <w:sz w:val="20"/>
                <w:szCs w:val="20"/>
              </w:rPr>
              <w:t>Assessment should be used not only to track pupils’ learning but also to provide teachers with information about what pupils do and do not know. This should inform the planning of future lessons and the focus of targeted support.</w:t>
            </w:r>
          </w:p>
          <w:p w14:paraId="7A9B3F5F" w14:textId="77777777" w:rsidR="002A4F9D" w:rsidRPr="00C53002" w:rsidRDefault="002A4F9D" w:rsidP="00AD6B5E">
            <w:pPr>
              <w:pStyle w:val="ListParagraph"/>
              <w:numPr>
                <w:ilvl w:val="0"/>
                <w:numId w:val="23"/>
              </w:numPr>
              <w:spacing w:after="0"/>
              <w:rPr>
                <w:rFonts w:cs="Arial"/>
                <w:sz w:val="20"/>
                <w:szCs w:val="20"/>
              </w:rPr>
            </w:pPr>
            <w:r w:rsidRPr="00C53002">
              <w:rPr>
                <w:rFonts w:cs="Arial"/>
                <w:sz w:val="20"/>
                <w:szCs w:val="20"/>
              </w:rPr>
              <w:t>Effective feedback will be an important element of teachers’ response to assessment. Feedback should be specific and clear, encourage and support further effort, and be given sparingly.</w:t>
            </w:r>
          </w:p>
          <w:p w14:paraId="2A7D551F" w14:textId="77777777" w:rsidR="00E66558" w:rsidRPr="00C53002" w:rsidRDefault="00E66558" w:rsidP="00C31636">
            <w:pPr>
              <w:pStyle w:val="TableRowCentered"/>
              <w:ind w:left="0" w:right="0"/>
              <w:jc w:val="left"/>
              <w:rPr>
                <w:sz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7305FBB7" w:rsidR="00E66558" w:rsidRDefault="005F047A" w:rsidP="00C31636">
            <w:pPr>
              <w:pStyle w:val="TableRowCentered"/>
              <w:ind w:left="0" w:right="0"/>
              <w:jc w:val="left"/>
              <w:rPr>
                <w:sz w:val="22"/>
              </w:rPr>
            </w:pPr>
            <w:r>
              <w:rPr>
                <w:sz w:val="22"/>
              </w:rPr>
              <w:t>4</w:t>
            </w:r>
          </w:p>
        </w:tc>
      </w:tr>
      <w:tr w:rsidR="00B91009" w14:paraId="137BAD4D"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7C4B" w14:textId="6C026913" w:rsidR="00B91009" w:rsidRPr="00C53002" w:rsidRDefault="00B91009" w:rsidP="00C31636">
            <w:pPr>
              <w:pStyle w:val="TableRow"/>
              <w:ind w:left="0" w:right="0"/>
              <w:rPr>
                <w:rFonts w:cs="Arial"/>
                <w:sz w:val="20"/>
                <w:szCs w:val="20"/>
              </w:rPr>
            </w:pPr>
            <w:r w:rsidRPr="00C53002">
              <w:rPr>
                <w:rFonts w:cs="Arial"/>
                <w:sz w:val="20"/>
                <w:szCs w:val="20"/>
              </w:rPr>
              <w:t>To maintain our outstanding quality of education, we are reaffirming expectations and promoting the sharing of best practice across the staff team. This includes ensuring that all staff are confident in applying the WGES Suite of Learning to deliver consistent, high-impact teaching. </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BB1" w14:textId="77777777" w:rsidR="006C17A8" w:rsidRPr="006C17A8" w:rsidRDefault="006C17A8" w:rsidP="00AD6B5E">
            <w:pPr>
              <w:pStyle w:val="ListParagraph"/>
              <w:numPr>
                <w:ilvl w:val="0"/>
                <w:numId w:val="23"/>
              </w:numPr>
              <w:rPr>
                <w:sz w:val="20"/>
                <w:szCs w:val="20"/>
              </w:rPr>
            </w:pPr>
            <w:r w:rsidRPr="006C17A8">
              <w:rPr>
                <w:sz w:val="20"/>
                <w:szCs w:val="20"/>
              </w:rPr>
              <w:t>This approach is underpinned by the work of Barak Rosenshine, whose </w:t>
            </w:r>
            <w:r w:rsidRPr="006C17A8">
              <w:rPr>
                <w:i/>
                <w:iCs/>
                <w:sz w:val="20"/>
                <w:szCs w:val="20"/>
              </w:rPr>
              <w:t>Principles of Instruction</w:t>
            </w:r>
            <w:r w:rsidRPr="006C17A8">
              <w:rPr>
                <w:sz w:val="20"/>
                <w:szCs w:val="20"/>
              </w:rPr>
              <w:t> highlight the importance of clear modelling, guided practice, and regular review to support pupil understanding and retention. Similarly, Tom Sherrington’s Learning Rainforest advocates for a balanced approach to teaching that combines instructional rigour with opportunities for independent thinking and application. Both emphasise the value of spaced retrieval—the practice of revisiting and recalling prior learning over time—as a powerful tool for strengthening long-term memory and deepening understanding. </w:t>
            </w:r>
          </w:p>
          <w:p w14:paraId="337D0EE0" w14:textId="77777777" w:rsidR="006C17A8" w:rsidRPr="006C17A8" w:rsidRDefault="006C17A8" w:rsidP="00AD6B5E">
            <w:pPr>
              <w:pStyle w:val="ListParagraph"/>
              <w:numPr>
                <w:ilvl w:val="0"/>
                <w:numId w:val="23"/>
              </w:numPr>
              <w:rPr>
                <w:sz w:val="20"/>
                <w:szCs w:val="20"/>
              </w:rPr>
            </w:pPr>
            <w:r w:rsidRPr="006C17A8">
              <w:rPr>
                <w:sz w:val="20"/>
                <w:szCs w:val="20"/>
              </w:rPr>
              <w:t>By embedding these principles within the WGES Suite of Learning, we aim to ensure that all pupils continue to benefit from a consistent, evidence-informed learning experience, and that all staff are supported in delivering high-quality teaching across the curriculum. </w:t>
            </w:r>
          </w:p>
          <w:p w14:paraId="704B16A5" w14:textId="77777777" w:rsidR="00B91009" w:rsidRPr="00C53002" w:rsidRDefault="00B91009" w:rsidP="006C17A8">
            <w:pPr>
              <w:pStyle w:val="ListParagraph"/>
              <w:numPr>
                <w:ilvl w:val="0"/>
                <w:numId w:val="0"/>
              </w:numPr>
              <w:suppressAutoHyphens w:val="0"/>
              <w:autoSpaceDN/>
              <w:spacing w:after="0" w:line="240" w:lineRule="auto"/>
              <w:ind w:left="720"/>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AA23" w14:textId="453F55E4" w:rsidR="00B91009" w:rsidRDefault="006C17A8" w:rsidP="00C31636">
            <w:pPr>
              <w:pStyle w:val="TableRowCentered"/>
              <w:ind w:left="0" w:right="0"/>
              <w:jc w:val="left"/>
              <w:rPr>
                <w:sz w:val="22"/>
              </w:rPr>
            </w:pPr>
            <w:r>
              <w:rPr>
                <w:sz w:val="22"/>
              </w:rPr>
              <w:t>1</w:t>
            </w:r>
          </w:p>
        </w:tc>
      </w:tr>
      <w:tr w:rsidR="006C17A8" w14:paraId="5E9852F2"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A2502" w14:textId="73A3262F" w:rsidR="006C17A8" w:rsidRPr="00C53002" w:rsidRDefault="00CA7E38" w:rsidP="00C31636">
            <w:pPr>
              <w:pStyle w:val="TableRow"/>
              <w:ind w:left="0" w:right="0"/>
              <w:rPr>
                <w:rFonts w:cs="Arial"/>
                <w:sz w:val="20"/>
                <w:szCs w:val="20"/>
              </w:rPr>
            </w:pPr>
            <w:r w:rsidRPr="00C53002">
              <w:rPr>
                <w:rFonts w:cs="Arial"/>
                <w:sz w:val="20"/>
                <w:szCs w:val="20"/>
              </w:rPr>
              <w:t>A refined approach to attendance monitoring—viewed through the lens of SEND, disadvantage, and EBSA—alongside termly parent workshops, will further support engagement, wellbeing, and progress for all learners.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AFFE" w14:textId="6F6320A0" w:rsidR="006C17A8" w:rsidRPr="00C53002" w:rsidRDefault="00CC247D" w:rsidP="00AD6B5E">
            <w:pPr>
              <w:pStyle w:val="ListParagraph"/>
              <w:numPr>
                <w:ilvl w:val="0"/>
                <w:numId w:val="23"/>
              </w:numPr>
              <w:rPr>
                <w:sz w:val="20"/>
                <w:szCs w:val="20"/>
              </w:rPr>
            </w:pPr>
            <w:r w:rsidRPr="00C53002">
              <w:rPr>
                <w:sz w:val="20"/>
                <w:szCs w:val="20"/>
              </w:rPr>
              <w:t>This approach is underpinned by research from the Education Endowment Foundation (EEF), which highlights the positive impact of both </w:t>
            </w:r>
            <w:hyperlink r:id="rId13" w:tgtFrame="_blank" w:history="1">
              <w:r w:rsidRPr="00C53002">
                <w:rPr>
                  <w:rStyle w:val="Hyperlink"/>
                  <w:sz w:val="20"/>
                  <w:szCs w:val="20"/>
                </w:rPr>
                <w:t>metacognition and self-regulation</w:t>
              </w:r>
            </w:hyperlink>
            <w:r w:rsidRPr="00C53002">
              <w:rPr>
                <w:sz w:val="20"/>
                <w:szCs w:val="20"/>
              </w:rPr>
              <w:t> and </w:t>
            </w:r>
            <w:hyperlink r:id="rId14" w:tgtFrame="_blank" w:history="1">
              <w:r w:rsidRPr="00C53002">
                <w:rPr>
                  <w:rStyle w:val="Hyperlink"/>
                  <w:sz w:val="20"/>
                  <w:szCs w:val="20"/>
                </w:rPr>
                <w:t>social and emotional learning</w:t>
              </w:r>
            </w:hyperlink>
            <w:r w:rsidRPr="00C53002">
              <w:rPr>
                <w:sz w:val="20"/>
                <w:szCs w:val="20"/>
              </w:rPr>
              <w:t> on pupil outcomes. By embedding these principles into our inclusive strategy, we aim to ensure that all pupils—particularly those with additional needs—are supported to thrive academically, socially, and emotionally. </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7D44" w14:textId="415FCA5B" w:rsidR="006C17A8" w:rsidRDefault="0036492D" w:rsidP="00C31636">
            <w:pPr>
              <w:pStyle w:val="TableRowCentered"/>
              <w:ind w:left="0" w:right="0"/>
              <w:jc w:val="left"/>
              <w:rPr>
                <w:sz w:val="22"/>
              </w:rPr>
            </w:pPr>
            <w:r>
              <w:rPr>
                <w:sz w:val="22"/>
              </w:rPr>
              <w:t>4</w:t>
            </w:r>
          </w:p>
        </w:tc>
      </w:tr>
      <w:tr w:rsidR="0036492D" w14:paraId="6F447FD4"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DB8A7" w14:textId="1C557BB2" w:rsidR="001A250B" w:rsidRPr="001A250B" w:rsidRDefault="001A250B" w:rsidP="00DF4DAA">
            <w:pPr>
              <w:pStyle w:val="TableRow"/>
              <w:ind w:left="0"/>
              <w:rPr>
                <w:rFonts w:cs="Arial"/>
                <w:sz w:val="20"/>
                <w:szCs w:val="20"/>
              </w:rPr>
            </w:pPr>
            <w:r w:rsidRPr="001A250B">
              <w:rPr>
                <w:rFonts w:cs="Arial"/>
                <w:sz w:val="20"/>
                <w:szCs w:val="20"/>
              </w:rPr>
              <w:t xml:space="preserve">Improving the quality of writing across the school with a specific focus on increasing the proportion of </w:t>
            </w:r>
            <w:r w:rsidR="00C53002" w:rsidRPr="00C53002">
              <w:rPr>
                <w:rFonts w:cs="Arial"/>
                <w:sz w:val="20"/>
                <w:szCs w:val="20"/>
              </w:rPr>
              <w:t>disadvantaged pupils meeting the expected standard.</w:t>
            </w:r>
          </w:p>
          <w:p w14:paraId="4461CFA9" w14:textId="77777777" w:rsidR="001A250B" w:rsidRPr="001A250B" w:rsidRDefault="001A250B" w:rsidP="00C53002">
            <w:pPr>
              <w:pStyle w:val="TableRow"/>
              <w:rPr>
                <w:rFonts w:cs="Arial"/>
                <w:sz w:val="20"/>
                <w:szCs w:val="20"/>
              </w:rPr>
            </w:pPr>
            <w:r w:rsidRPr="001A250B">
              <w:rPr>
                <w:rFonts w:cs="Arial"/>
                <w:sz w:val="20"/>
                <w:szCs w:val="20"/>
              </w:rPr>
              <w:t>Further embed the revised DDAT writing spine to provide a consistent and progressive framework for writing development across all year groups. </w:t>
            </w:r>
          </w:p>
          <w:p w14:paraId="77685CEF" w14:textId="77777777" w:rsidR="001A250B" w:rsidRPr="001A250B" w:rsidRDefault="001A250B" w:rsidP="00C53002">
            <w:pPr>
              <w:pStyle w:val="TableRow"/>
              <w:rPr>
                <w:rFonts w:cs="Arial"/>
                <w:sz w:val="20"/>
                <w:szCs w:val="20"/>
              </w:rPr>
            </w:pPr>
            <w:r w:rsidRPr="001A250B">
              <w:rPr>
                <w:rFonts w:cs="Arial"/>
                <w:sz w:val="20"/>
                <w:szCs w:val="20"/>
              </w:rPr>
              <w:t>Introducing pupil-friendly writing checklists to support independence, precision, and reflection in writing, helping pupils take ownership of their progress. </w:t>
            </w:r>
          </w:p>
          <w:p w14:paraId="79C23528" w14:textId="677DE7FA" w:rsidR="00391F58" w:rsidRPr="00C53002" w:rsidRDefault="001A250B" w:rsidP="00391F58">
            <w:pPr>
              <w:pStyle w:val="TableRow"/>
              <w:rPr>
                <w:rFonts w:cs="Arial"/>
                <w:sz w:val="20"/>
                <w:szCs w:val="20"/>
              </w:rPr>
            </w:pPr>
            <w:r w:rsidRPr="001A250B">
              <w:rPr>
                <w:rFonts w:cs="Arial"/>
                <w:sz w:val="20"/>
                <w:szCs w:val="20"/>
              </w:rPr>
              <w:t>Strengthen proofreading and editing skills </w:t>
            </w:r>
            <w:r w:rsidR="00391F58">
              <w:rPr>
                <w:rFonts w:cs="Arial"/>
                <w:sz w:val="20"/>
                <w:szCs w:val="20"/>
              </w:rPr>
              <w:t>and enhance spelling accuracy.</w:t>
            </w:r>
          </w:p>
          <w:p w14:paraId="0FA3B7EE" w14:textId="758D5FA5" w:rsidR="001A250B" w:rsidRPr="00C53002" w:rsidRDefault="001A250B" w:rsidP="00AF0EB9">
            <w:pPr>
              <w:pStyle w:val="TableRow"/>
              <w:rPr>
                <w:rFonts w:cs="Arial"/>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5005" w14:textId="77777777" w:rsidR="0036492D" w:rsidRPr="0036492D" w:rsidRDefault="0036492D" w:rsidP="00AD6B5E">
            <w:pPr>
              <w:pStyle w:val="ListParagraph"/>
              <w:numPr>
                <w:ilvl w:val="0"/>
                <w:numId w:val="23"/>
              </w:numPr>
              <w:rPr>
                <w:sz w:val="20"/>
                <w:szCs w:val="20"/>
              </w:rPr>
            </w:pPr>
            <w:r w:rsidRPr="0036492D">
              <w:rPr>
                <w:sz w:val="20"/>
                <w:szCs w:val="20"/>
              </w:rPr>
              <w:t>These tools, combined with metacognitive strategies such as peer and self-assessment (Black &amp; Wiliam, 2006; Andrade &amp; Valtcheva, 2009), will help pupils take ownership of their writing, improve their ability to reflect on authorial intent, and make deliberate vocabulary and grammar choices to suit different audiences and purposes. This approach aligns with EEF recommendations and aims to raise expectations, improve consistency, and increase the proportion of pupils achieving greater depth in writing across the school. </w:t>
            </w:r>
          </w:p>
          <w:p w14:paraId="5D198A2F" w14:textId="77777777" w:rsidR="0036492D" w:rsidRPr="0036492D" w:rsidRDefault="00AD6B5E" w:rsidP="00AD6B5E">
            <w:pPr>
              <w:pStyle w:val="ListParagraph"/>
              <w:numPr>
                <w:ilvl w:val="0"/>
                <w:numId w:val="23"/>
              </w:numPr>
              <w:rPr>
                <w:sz w:val="20"/>
                <w:szCs w:val="20"/>
              </w:rPr>
            </w:pPr>
            <w:hyperlink r:id="rId15" w:tgtFrame="_blank" w:history="1">
              <w:r w:rsidR="0036492D" w:rsidRPr="0036492D">
                <w:rPr>
                  <w:rStyle w:val="Hyperlink"/>
                  <w:sz w:val="20"/>
                  <w:szCs w:val="20"/>
                </w:rPr>
                <w:t>https://educationendowmentfoundation.org.uk/education-evidence/guidance-reports/literacy-ks2</w:t>
              </w:r>
            </w:hyperlink>
            <w:r w:rsidR="0036492D" w:rsidRPr="0036492D">
              <w:rPr>
                <w:sz w:val="20"/>
                <w:szCs w:val="20"/>
              </w:rPr>
              <w:t> </w:t>
            </w:r>
          </w:p>
          <w:p w14:paraId="16D3E0CF" w14:textId="77777777" w:rsidR="0036492D" w:rsidRPr="00C53002" w:rsidRDefault="0036492D" w:rsidP="0036492D">
            <w:pPr>
              <w:pStyle w:val="ListParagraph"/>
              <w:numPr>
                <w:ilvl w:val="0"/>
                <w:numId w:val="0"/>
              </w:numPr>
              <w:ind w:left="720"/>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41347" w14:textId="1F84B6A6" w:rsidR="0036492D" w:rsidRDefault="0036492D" w:rsidP="00C31636">
            <w:pPr>
              <w:pStyle w:val="TableRowCentered"/>
              <w:ind w:left="0" w:right="0"/>
              <w:jc w:val="left"/>
              <w:rPr>
                <w:sz w:val="22"/>
              </w:rPr>
            </w:pPr>
            <w:r>
              <w:rPr>
                <w:sz w:val="22"/>
              </w:rPr>
              <w:t>3</w:t>
            </w:r>
          </w:p>
        </w:tc>
      </w:tr>
      <w:tr w:rsidR="00AF0EB9" w14:paraId="212B6614"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D512A" w14:textId="77777777" w:rsidR="00AF0EB9" w:rsidRPr="00AF0EB9" w:rsidRDefault="00AF0EB9" w:rsidP="00391F58">
            <w:pPr>
              <w:pStyle w:val="TableRow"/>
              <w:rPr>
                <w:rFonts w:cs="Arial"/>
                <w:sz w:val="20"/>
                <w:szCs w:val="20"/>
              </w:rPr>
            </w:pPr>
            <w:r w:rsidRPr="00AF0EB9">
              <w:rPr>
                <w:rFonts w:cs="Arial"/>
                <w:sz w:val="20"/>
                <w:szCs w:val="20"/>
              </w:rPr>
              <w:t>Continue with the implementation of Zones of Regulation and Behaviour Box to provide structured, accessible tools for pupils to understand and manage their emotional states. </w:t>
            </w:r>
          </w:p>
          <w:p w14:paraId="087F69DD" w14:textId="3366312E" w:rsidR="00AF0EB9" w:rsidRPr="00AF0EB9" w:rsidRDefault="00AF0EB9" w:rsidP="00391F58">
            <w:pPr>
              <w:pStyle w:val="TableRow"/>
              <w:rPr>
                <w:rFonts w:cs="Arial"/>
                <w:sz w:val="20"/>
                <w:szCs w:val="20"/>
              </w:rPr>
            </w:pPr>
            <w:r w:rsidRPr="00AF0EB9">
              <w:rPr>
                <w:rFonts w:cs="Arial"/>
                <w:sz w:val="20"/>
                <w:szCs w:val="20"/>
              </w:rPr>
              <w:t>Developing</w:t>
            </w:r>
            <w:r w:rsidR="00391F58">
              <w:rPr>
                <w:rFonts w:cs="Arial"/>
                <w:sz w:val="20"/>
                <w:szCs w:val="20"/>
              </w:rPr>
              <w:t xml:space="preserve"> </w:t>
            </w:r>
            <w:r w:rsidRPr="00AF0EB9">
              <w:rPr>
                <w:rFonts w:cs="Arial"/>
                <w:sz w:val="20"/>
                <w:szCs w:val="20"/>
              </w:rPr>
              <w:t>restorative practices embedding consistent approaches to conflict resolution and relationship repair, promoting accountability and empathy. </w:t>
            </w:r>
          </w:p>
          <w:p w14:paraId="1B0D0034" w14:textId="77777777" w:rsidR="00AF0EB9" w:rsidRPr="00AF0EB9" w:rsidRDefault="00AF0EB9" w:rsidP="00391F58">
            <w:pPr>
              <w:pStyle w:val="TableRow"/>
              <w:rPr>
                <w:rFonts w:cs="Arial"/>
                <w:sz w:val="20"/>
                <w:szCs w:val="20"/>
              </w:rPr>
            </w:pPr>
            <w:r w:rsidRPr="00AF0EB9">
              <w:rPr>
                <w:rFonts w:cs="Arial"/>
                <w:sz w:val="20"/>
                <w:szCs w:val="20"/>
              </w:rPr>
              <w:t>Creating a shared language and expectations across the school promoting clarity, consistency, and emotional safety for all pupils and staff. </w:t>
            </w:r>
          </w:p>
          <w:p w14:paraId="407DC52E" w14:textId="77777777" w:rsidR="00AF0EB9" w:rsidRPr="001A250B" w:rsidRDefault="00AF0EB9" w:rsidP="00DF4DAA">
            <w:pPr>
              <w:pStyle w:val="TableRow"/>
              <w:ind w:left="0"/>
              <w:rPr>
                <w:rFonts w:cs="Arial"/>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E9A4" w14:textId="77777777" w:rsidR="00EB3C15" w:rsidRPr="00EB3C15" w:rsidRDefault="00EB3C15" w:rsidP="00AD6B5E">
            <w:pPr>
              <w:pStyle w:val="ListParagraph"/>
              <w:numPr>
                <w:ilvl w:val="0"/>
                <w:numId w:val="23"/>
              </w:numPr>
              <w:rPr>
                <w:sz w:val="20"/>
                <w:szCs w:val="20"/>
              </w:rPr>
            </w:pPr>
            <w:r w:rsidRPr="00EB3C15">
              <w:rPr>
                <w:sz w:val="20"/>
                <w:szCs w:val="20"/>
              </w:rPr>
              <w:t>This approach is grounded in research from neuroscience and trauma-informed education (Siegel, 2012; Perry, 2006), which highlights the importance of emotionally safe environments for optimal learning, behaviour, and regulation. Building on the foundations laid in Year 1, the school will continue to align its practice with frameworks such as the Zones of Regulation and Behaviour Box, while refining the use of co-regulation strategies, emotional literacy, and restorative practices. These strategies are proven to reduce exclusions, improve wellbeing, and enhance academic outcomes (Bomber, 2007; Brighton &amp; Hove Relational Practice Guidance). This work is further supported by the Education Endowment Foundation (EEF), whose guidance on </w:t>
            </w:r>
            <w:hyperlink r:id="rId16" w:tgtFrame="_blank" w:history="1">
              <w:r w:rsidRPr="00EB3C15">
                <w:rPr>
                  <w:rStyle w:val="Hyperlink"/>
                  <w:sz w:val="20"/>
                  <w:szCs w:val="20"/>
                </w:rPr>
                <w:t>Social and Emotional Learning (SEL)</w:t>
              </w:r>
            </w:hyperlink>
            <w:r w:rsidRPr="00EB3C15">
              <w:rPr>
                <w:sz w:val="20"/>
                <w:szCs w:val="20"/>
              </w:rPr>
              <w:t> emphasises the importance of explicitly teaching emotional skills and creating supportive environments. The EEF’s </w:t>
            </w:r>
            <w:hyperlink r:id="rId17" w:tgtFrame="_blank" w:history="1">
              <w:r w:rsidRPr="00EB3C15">
                <w:rPr>
                  <w:rStyle w:val="Hyperlink"/>
                  <w:sz w:val="20"/>
                  <w:szCs w:val="20"/>
                </w:rPr>
                <w:t>Improving Behaviour in Schools</w:t>
              </w:r>
            </w:hyperlink>
            <w:r w:rsidRPr="00EB3C15">
              <w:rPr>
                <w:sz w:val="20"/>
                <w:szCs w:val="20"/>
              </w:rPr>
              <w:t> report also advocates for consistent, emotionally informed adult responses and the development of shared language and expectations. </w:t>
            </w:r>
          </w:p>
          <w:p w14:paraId="4793E250" w14:textId="77777777" w:rsidR="00EB3C15" w:rsidRPr="00EB3C15" w:rsidRDefault="00EB3C15" w:rsidP="00AD6B5E">
            <w:pPr>
              <w:pStyle w:val="ListParagraph"/>
              <w:numPr>
                <w:ilvl w:val="0"/>
                <w:numId w:val="23"/>
              </w:numPr>
              <w:rPr>
                <w:sz w:val="20"/>
                <w:szCs w:val="20"/>
              </w:rPr>
            </w:pPr>
            <w:r w:rsidRPr="00EB3C15">
              <w:rPr>
                <w:sz w:val="20"/>
                <w:szCs w:val="20"/>
              </w:rPr>
              <w:t>By continuing to embed these principles into our culture, language, and systems, we aim to create a school environment where all pupils feel safe, connected, and ready to learn—particularly those with additional needs or experiences of trauma. </w:t>
            </w:r>
          </w:p>
          <w:p w14:paraId="3402485C" w14:textId="77777777" w:rsidR="00AF0EB9" w:rsidRPr="0036492D" w:rsidRDefault="00AF0EB9" w:rsidP="00AD6B5E">
            <w:pPr>
              <w:pStyle w:val="ListParagraph"/>
              <w:numPr>
                <w:ilvl w:val="0"/>
                <w:numId w:val="23"/>
              </w:numPr>
              <w:rPr>
                <w:sz w:val="20"/>
                <w:szCs w:val="20"/>
              </w:rPr>
            </w:pP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B24F" w14:textId="77777777" w:rsidR="00AF0EB9" w:rsidRDefault="00AF0EB9" w:rsidP="00C31636">
            <w:pPr>
              <w:pStyle w:val="TableRowCentered"/>
              <w:ind w:left="0" w:right="0"/>
              <w:jc w:val="left"/>
              <w:rPr>
                <w:sz w:val="22"/>
              </w:rPr>
            </w:pPr>
          </w:p>
        </w:tc>
      </w:tr>
      <w:tr w:rsidR="00EB3C15" w14:paraId="6121D6D9" w14:textId="77777777" w:rsidTr="00F47628">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33C99" w14:textId="77777777" w:rsidR="00EB3C15" w:rsidRPr="00EB3C15" w:rsidRDefault="00EB3C15" w:rsidP="00391F58">
            <w:pPr>
              <w:pStyle w:val="TableRow"/>
              <w:rPr>
                <w:rFonts w:cs="Arial"/>
                <w:sz w:val="20"/>
                <w:szCs w:val="20"/>
              </w:rPr>
            </w:pPr>
            <w:r w:rsidRPr="00EB3C15">
              <w:rPr>
                <w:rFonts w:cs="Arial"/>
                <w:sz w:val="20"/>
                <w:szCs w:val="20"/>
              </w:rPr>
              <w:t>Strengthening fluency and automaticity in multiplication facts with a particular focus on increasing the proportion of Year 4 pupils achieving full marks (25/25) in the Multiplication Tables Check (MTC). </w:t>
            </w:r>
          </w:p>
          <w:p w14:paraId="0C78A050" w14:textId="77777777" w:rsidR="00EB3C15" w:rsidRPr="00EB3C15" w:rsidRDefault="00EB3C15" w:rsidP="00391F58">
            <w:pPr>
              <w:pStyle w:val="TableRow"/>
              <w:rPr>
                <w:rFonts w:cs="Arial"/>
                <w:sz w:val="20"/>
                <w:szCs w:val="20"/>
              </w:rPr>
            </w:pPr>
            <w:r w:rsidRPr="00EB3C15">
              <w:rPr>
                <w:rFonts w:cs="Arial"/>
                <w:sz w:val="20"/>
                <w:szCs w:val="20"/>
              </w:rPr>
              <w:t>Embedding targeted fluency practice and retrieval strategies to support regular rehearsal and rapid recall of multiplication facts across all year groups. </w:t>
            </w:r>
          </w:p>
          <w:p w14:paraId="0AAAD1BE" w14:textId="77777777" w:rsidR="00EB3C15" w:rsidRPr="00EB3C15" w:rsidRDefault="00EB3C15" w:rsidP="00391F58">
            <w:pPr>
              <w:pStyle w:val="TableRow"/>
              <w:rPr>
                <w:rFonts w:cs="Arial"/>
                <w:sz w:val="20"/>
                <w:szCs w:val="20"/>
              </w:rPr>
            </w:pPr>
            <w:r w:rsidRPr="00EB3C15">
              <w:rPr>
                <w:rFonts w:cs="Arial"/>
                <w:sz w:val="20"/>
                <w:szCs w:val="20"/>
              </w:rPr>
              <w:t>Enhancing mathematical oracy through Power Maths using structured opportunities for pupils to articulate their thinking, reflect on learning, and use precise mathematical vocabulary. </w:t>
            </w:r>
          </w:p>
          <w:p w14:paraId="563D0DBC" w14:textId="77777777" w:rsidR="00EB3C15" w:rsidRPr="00EB3C15" w:rsidRDefault="00EB3C15" w:rsidP="00391F58">
            <w:pPr>
              <w:pStyle w:val="TableRow"/>
              <w:rPr>
                <w:rFonts w:cs="Arial"/>
                <w:sz w:val="20"/>
                <w:szCs w:val="20"/>
              </w:rPr>
            </w:pPr>
            <w:r w:rsidRPr="00EB3C15">
              <w:rPr>
                <w:rFonts w:cs="Arial"/>
                <w:sz w:val="20"/>
                <w:szCs w:val="20"/>
              </w:rPr>
              <w:t>Modelling and scaffolding mathematical dialogue supporting pupils to reason aloud, explain strategies, and engage in peer discussion to deepen understanding. </w:t>
            </w:r>
          </w:p>
          <w:p w14:paraId="7F44C979" w14:textId="77777777" w:rsidR="00EB3C15" w:rsidRPr="00EB3C15" w:rsidRDefault="00EB3C15" w:rsidP="00391F58">
            <w:pPr>
              <w:pStyle w:val="TableRow"/>
              <w:rPr>
                <w:rFonts w:cs="Arial"/>
                <w:sz w:val="20"/>
                <w:szCs w:val="20"/>
              </w:rPr>
            </w:pPr>
            <w:r w:rsidRPr="00EB3C15">
              <w:rPr>
                <w:rFonts w:cs="Arial"/>
                <w:sz w:val="20"/>
                <w:szCs w:val="20"/>
              </w:rPr>
              <w:t>Using independent reasoning tasks to build confidence and fluency in applying multiplication facts in varied contexts. </w:t>
            </w:r>
          </w:p>
          <w:p w14:paraId="067A6C10" w14:textId="77777777" w:rsidR="00EB3C15" w:rsidRPr="00AF0EB9" w:rsidRDefault="00EB3C15" w:rsidP="00EB3C15">
            <w:pPr>
              <w:pStyle w:val="TableRow"/>
              <w:rPr>
                <w:rFonts w:cs="Arial"/>
                <w:sz w:val="20"/>
                <w:szCs w:val="20"/>
              </w:rPr>
            </w:pPr>
          </w:p>
        </w:tc>
        <w:tc>
          <w:tcPr>
            <w:tcW w:w="4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54B1" w14:textId="3CED92B9" w:rsidR="00EB3C15" w:rsidRPr="00EB3C15" w:rsidRDefault="00603B1C" w:rsidP="00AD6B5E">
            <w:pPr>
              <w:pStyle w:val="ListParagraph"/>
              <w:numPr>
                <w:ilvl w:val="0"/>
                <w:numId w:val="23"/>
              </w:numPr>
              <w:rPr>
                <w:sz w:val="20"/>
                <w:szCs w:val="20"/>
              </w:rPr>
            </w:pPr>
            <w:r w:rsidRPr="00603B1C">
              <w:rPr>
                <w:sz w:val="20"/>
                <w:szCs w:val="20"/>
              </w:rPr>
              <w:t> This approach is supported by the Education Endowment Foundation (EEF), which recommends that schools prioritise fluency in number facts and structured teaching approaches to improve outcomes in mathematics (</w:t>
            </w:r>
            <w:hyperlink r:id="rId18" w:tgtFrame="_blank" w:history="1">
              <w:r w:rsidRPr="00603B1C">
                <w:rPr>
                  <w:rStyle w:val="Hyperlink"/>
                  <w:sz w:val="20"/>
                  <w:szCs w:val="20"/>
                </w:rPr>
                <w:t>EEF, Improving Mathematics in Key Stages 2 and 3</w:t>
              </w:r>
            </w:hyperlink>
            <w:r w:rsidRPr="00603B1C">
              <w:rPr>
                <w:sz w:val="20"/>
                <w:szCs w:val="20"/>
              </w:rPr>
              <w:t>). Furthermore, the EEF highlights the importance of mathematical dialogue and oracy in developing reasoning and deepening understanding (</w:t>
            </w:r>
            <w:hyperlink r:id="rId19" w:tgtFrame="_blank" w:history="1">
              <w:r w:rsidRPr="00603B1C">
                <w:rPr>
                  <w:rStyle w:val="Hyperlink"/>
                  <w:sz w:val="20"/>
                  <w:szCs w:val="20"/>
                </w:rPr>
                <w:t>EEF, Oracy and Disciplinary Mathematics – Derby Research School</w:t>
              </w:r>
            </w:hyperlink>
            <w:r w:rsidRPr="00603B1C">
              <w:rPr>
                <w:sz w:val="20"/>
                <w:szCs w:val="20"/>
              </w:rPr>
              <w:t>). By embedding these principles into our teaching and learning, we aim to raise attainment in the MTC and build confident, articulate mathematicians across all groups. </w:t>
            </w:r>
          </w:p>
        </w:tc>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DCA97" w14:textId="1E848CB7" w:rsidR="00EB3C15" w:rsidRDefault="00603B1C" w:rsidP="00C31636">
            <w:pPr>
              <w:pStyle w:val="TableRowCentered"/>
              <w:ind w:left="0" w:right="0"/>
              <w:jc w:val="left"/>
              <w:rPr>
                <w:sz w:val="22"/>
              </w:rPr>
            </w:pPr>
            <w:r>
              <w:rPr>
                <w:sz w:val="22"/>
              </w:rPr>
              <w:t>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3F2273A4" w:rsidR="00E66558" w:rsidRDefault="009D71E8">
      <w:r>
        <w:t xml:space="preserve">Budgeted cost: £ </w:t>
      </w:r>
      <w:r w:rsidR="00F8053C">
        <w:rPr>
          <w:i/>
          <w:iCs/>
        </w:rPr>
        <w:t>5</w:t>
      </w:r>
      <w:r w:rsidR="00603B1C">
        <w:rPr>
          <w:i/>
          <w:iCs/>
        </w:rPr>
        <w:t>,2</w:t>
      </w:r>
      <w:r w:rsidR="00F8053C">
        <w:rPr>
          <w:i/>
          <w:iCs/>
        </w:rPr>
        <w:t>9</w:t>
      </w:r>
      <w:r w:rsidR="00603B1C">
        <w:rPr>
          <w:i/>
          <w:iCs/>
        </w:rPr>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04B8" w14:textId="77777777" w:rsidR="00876B44" w:rsidRPr="00747904" w:rsidRDefault="00876B44" w:rsidP="00876B44">
            <w:pPr>
              <w:pStyle w:val="TableRow"/>
              <w:rPr>
                <w:rFonts w:cs="Arial"/>
                <w:sz w:val="20"/>
                <w:szCs w:val="20"/>
              </w:rPr>
            </w:pPr>
            <w:r w:rsidRPr="00747904">
              <w:rPr>
                <w:rFonts w:cs="Arial"/>
                <w:sz w:val="20"/>
                <w:szCs w:val="20"/>
              </w:rPr>
              <w:t>1:1 / group support through QFT and targeted intervention to close the attainment gap and nurture personal development.</w:t>
            </w:r>
          </w:p>
          <w:p w14:paraId="2A7D5529" w14:textId="4318DC58"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89C24" w14:textId="77777777" w:rsidR="002032A7" w:rsidRPr="00747904" w:rsidRDefault="002032A7" w:rsidP="00AD6B5E">
            <w:pPr>
              <w:pStyle w:val="ListParagraph"/>
              <w:numPr>
                <w:ilvl w:val="0"/>
                <w:numId w:val="23"/>
              </w:numPr>
              <w:suppressAutoHyphens w:val="0"/>
              <w:autoSpaceDN/>
              <w:spacing w:after="0" w:line="240" w:lineRule="auto"/>
              <w:rPr>
                <w:rFonts w:cs="Arial"/>
                <w:sz w:val="20"/>
                <w:szCs w:val="20"/>
              </w:rPr>
            </w:pPr>
            <w:r w:rsidRPr="00747904">
              <w:rPr>
                <w:rFonts w:cs="Arial"/>
                <w:sz w:val="20"/>
                <w:szCs w:val="20"/>
              </w:rPr>
              <w:t>Providing targeted 1:1 and group tuitio</w:t>
            </w:r>
            <w:r>
              <w:rPr>
                <w:rFonts w:cs="Arial"/>
                <w:sz w:val="20"/>
                <w:szCs w:val="20"/>
              </w:rPr>
              <w:t>n, focusing on English/Maths</w:t>
            </w:r>
            <w:r w:rsidRPr="00747904">
              <w:rPr>
                <w:rFonts w:cs="Arial"/>
                <w:sz w:val="20"/>
                <w:szCs w:val="20"/>
              </w:rPr>
              <w:t xml:space="preserve">, to support gaps and barriers to learning and accelerate progress for pupils working below age related expectations in order to improve access to the whole curriculum. </w:t>
            </w:r>
          </w:p>
          <w:p w14:paraId="696ADD34" w14:textId="77777777" w:rsidR="002032A7" w:rsidRPr="00747904" w:rsidRDefault="002032A7" w:rsidP="00AD6B5E">
            <w:pPr>
              <w:pStyle w:val="ListParagraph"/>
              <w:numPr>
                <w:ilvl w:val="0"/>
                <w:numId w:val="23"/>
              </w:numPr>
              <w:suppressAutoHyphens w:val="0"/>
              <w:autoSpaceDN/>
              <w:spacing w:after="0" w:line="240" w:lineRule="auto"/>
              <w:rPr>
                <w:rFonts w:cs="Arial"/>
                <w:sz w:val="20"/>
                <w:szCs w:val="20"/>
              </w:rPr>
            </w:pPr>
            <w:r w:rsidRPr="00747904">
              <w:rPr>
                <w:rFonts w:cs="Arial"/>
                <w:sz w:val="20"/>
                <w:szCs w:val="20"/>
              </w:rPr>
              <w:t xml:space="preserve">Sutton Trust - Education Endowment Foundation (EEF) research states </w:t>
            </w:r>
            <w:r w:rsidRPr="00747904">
              <w:rPr>
                <w:rFonts w:cs="Arial"/>
                <w:b/>
                <w:sz w:val="20"/>
                <w:szCs w:val="20"/>
              </w:rPr>
              <w:t>- ‘Small group teaching can sometimes be more effective than either one to one or paired tuition.’</w:t>
            </w:r>
          </w:p>
          <w:p w14:paraId="2A7D552A" w14:textId="6B505FFD" w:rsidR="00E66558" w:rsidRPr="009F322A" w:rsidRDefault="002032A7" w:rsidP="00AD6B5E">
            <w:pPr>
              <w:pStyle w:val="ListParagraph"/>
              <w:numPr>
                <w:ilvl w:val="0"/>
                <w:numId w:val="23"/>
              </w:numPr>
              <w:suppressAutoHyphens w:val="0"/>
              <w:autoSpaceDN/>
              <w:spacing w:after="0" w:line="240" w:lineRule="auto"/>
              <w:rPr>
                <w:rFonts w:cs="Arial"/>
                <w:sz w:val="20"/>
                <w:szCs w:val="20"/>
              </w:rPr>
            </w:pPr>
            <w:r w:rsidRPr="00747904">
              <w:rPr>
                <w:rFonts w:cs="Arial"/>
                <w:sz w:val="20"/>
                <w:szCs w:val="20"/>
              </w:rPr>
              <w:t xml:space="preserve">Sutton Trust - Education Endowment Foundation (EEF) research states </w:t>
            </w:r>
            <w:r w:rsidRPr="00747904">
              <w:rPr>
                <w:rFonts w:cs="Arial"/>
                <w:b/>
                <w:sz w:val="20"/>
                <w:szCs w:val="20"/>
              </w:rPr>
              <w:t>‘One to one tuition can be effective, on average accelerating learning by approximately two - five additional months’ progress.’</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6C9C2" w14:textId="77777777" w:rsidR="009F322A" w:rsidRDefault="009F322A" w:rsidP="009F322A">
            <w:pPr>
              <w:pStyle w:val="TableRowCentered"/>
              <w:jc w:val="left"/>
              <w:rPr>
                <w:rFonts w:cs="Arial"/>
                <w:sz w:val="20"/>
              </w:rPr>
            </w:pPr>
            <w:r>
              <w:rPr>
                <w:rFonts w:cs="Arial"/>
                <w:sz w:val="20"/>
              </w:rPr>
              <w:t>1</w:t>
            </w:r>
          </w:p>
          <w:p w14:paraId="56570313" w14:textId="77777777" w:rsidR="009F322A" w:rsidRDefault="009F322A" w:rsidP="009F322A">
            <w:pPr>
              <w:pStyle w:val="TableRowCentered"/>
              <w:jc w:val="left"/>
              <w:rPr>
                <w:rFonts w:cs="Arial"/>
                <w:sz w:val="20"/>
              </w:rPr>
            </w:pPr>
            <w:r>
              <w:rPr>
                <w:rFonts w:cs="Arial"/>
                <w:sz w:val="20"/>
              </w:rPr>
              <w:t>2</w:t>
            </w:r>
          </w:p>
          <w:p w14:paraId="631DC372" w14:textId="77777777" w:rsidR="009F322A" w:rsidRDefault="009F322A" w:rsidP="009F322A">
            <w:pPr>
              <w:pStyle w:val="TableRowCentered"/>
              <w:jc w:val="left"/>
              <w:rPr>
                <w:rFonts w:cs="Arial"/>
                <w:sz w:val="20"/>
              </w:rPr>
            </w:pPr>
            <w:r>
              <w:rPr>
                <w:rFonts w:cs="Arial"/>
                <w:sz w:val="20"/>
              </w:rPr>
              <w:t>3</w:t>
            </w:r>
          </w:p>
          <w:p w14:paraId="07DFDA90" w14:textId="77777777" w:rsidR="009F322A" w:rsidRDefault="009F322A" w:rsidP="009F322A">
            <w:pPr>
              <w:pStyle w:val="TableRowCentered"/>
              <w:jc w:val="left"/>
              <w:rPr>
                <w:rFonts w:cs="Arial"/>
                <w:sz w:val="20"/>
              </w:rPr>
            </w:pPr>
            <w:r>
              <w:rPr>
                <w:rFonts w:cs="Arial"/>
                <w:sz w:val="20"/>
              </w:rPr>
              <w:t>4</w:t>
            </w:r>
          </w:p>
          <w:p w14:paraId="2A7D552B" w14:textId="31D07A3D" w:rsidR="00E66558" w:rsidRDefault="009F322A" w:rsidP="009F322A">
            <w:pPr>
              <w:pStyle w:val="TableRowCentered"/>
              <w:ind w:left="0" w:right="0"/>
              <w:jc w:val="left"/>
              <w:rPr>
                <w:sz w:val="22"/>
              </w:rPr>
            </w:pPr>
            <w:r>
              <w:rPr>
                <w:rFonts w:cs="Arial"/>
                <w:sz w:val="20"/>
              </w:rPr>
              <w:t>5</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26F71D2D" w:rsidR="00E66558" w:rsidRDefault="009D71E8">
      <w:pPr>
        <w:spacing w:before="240" w:after="120"/>
      </w:pPr>
      <w:r>
        <w:t>Budgeted cost: £</w:t>
      </w:r>
      <w:r w:rsidR="00603B1C">
        <w:t>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1F7A" w14:textId="77777777" w:rsidR="00FC5023" w:rsidRDefault="00FC5023" w:rsidP="00FC5023">
            <w:pPr>
              <w:pStyle w:val="TableRow"/>
              <w:ind w:left="0"/>
              <w:rPr>
                <w:rFonts w:cs="Arial"/>
                <w:sz w:val="20"/>
                <w:szCs w:val="20"/>
              </w:rPr>
            </w:pPr>
            <w:r>
              <w:rPr>
                <w:rFonts w:cs="Arial"/>
                <w:sz w:val="20"/>
                <w:szCs w:val="20"/>
              </w:rPr>
              <w:t>CPD staff</w:t>
            </w:r>
          </w:p>
          <w:p w14:paraId="171E76B2" w14:textId="10435EEE" w:rsidR="00FC5023" w:rsidRDefault="00FC5023" w:rsidP="00FC5023">
            <w:pPr>
              <w:pStyle w:val="TableRow"/>
              <w:ind w:left="0"/>
              <w:rPr>
                <w:rFonts w:cs="Arial"/>
                <w:sz w:val="20"/>
                <w:szCs w:val="20"/>
              </w:rPr>
            </w:pPr>
            <w:r>
              <w:rPr>
                <w:rFonts w:cs="Arial"/>
                <w:sz w:val="20"/>
                <w:szCs w:val="20"/>
              </w:rPr>
              <w:t>Understanding brain development and how children learn to self-regulate</w:t>
            </w:r>
            <w:r w:rsidR="00F85DE7">
              <w:rPr>
                <w:rFonts w:cs="Arial"/>
                <w:sz w:val="20"/>
                <w:szCs w:val="20"/>
              </w:rPr>
              <w:t>.</w:t>
            </w:r>
          </w:p>
          <w:p w14:paraId="4B882F1F" w14:textId="77777777" w:rsidR="00F85DE7" w:rsidRDefault="00F85DE7" w:rsidP="00FC5023">
            <w:pPr>
              <w:pStyle w:val="TableRow"/>
              <w:ind w:left="0"/>
              <w:rPr>
                <w:rFonts w:cs="Arial"/>
                <w:sz w:val="20"/>
                <w:szCs w:val="20"/>
              </w:rPr>
            </w:pPr>
          </w:p>
          <w:p w14:paraId="70F7575C" w14:textId="6B113687" w:rsidR="00F85DE7" w:rsidRDefault="00F85DE7" w:rsidP="00FC5023">
            <w:pPr>
              <w:pStyle w:val="TableRow"/>
              <w:ind w:left="0"/>
              <w:rPr>
                <w:rFonts w:cs="Arial"/>
                <w:sz w:val="20"/>
                <w:szCs w:val="20"/>
              </w:rPr>
            </w:pPr>
            <w:r>
              <w:rPr>
                <w:rFonts w:cs="Arial"/>
                <w:sz w:val="20"/>
                <w:szCs w:val="20"/>
              </w:rPr>
              <w:t>Sensory Processing Training and Emotional Coaching</w:t>
            </w:r>
          </w:p>
          <w:p w14:paraId="6750595D" w14:textId="1EC8BB91" w:rsidR="00F85DE7" w:rsidRDefault="00F85DE7" w:rsidP="00FC5023">
            <w:pPr>
              <w:pStyle w:val="TableRow"/>
              <w:ind w:left="0"/>
              <w:rPr>
                <w:rFonts w:cs="Arial"/>
                <w:sz w:val="20"/>
                <w:szCs w:val="20"/>
              </w:rPr>
            </w:pPr>
          </w:p>
          <w:p w14:paraId="13356B8F" w14:textId="04248777" w:rsidR="00F85DE7" w:rsidRDefault="00F85DE7" w:rsidP="00FC5023">
            <w:pPr>
              <w:pStyle w:val="TableRow"/>
              <w:ind w:left="0"/>
              <w:rPr>
                <w:rFonts w:cs="Arial"/>
                <w:sz w:val="20"/>
                <w:szCs w:val="20"/>
              </w:rPr>
            </w:pPr>
            <w:r>
              <w:rPr>
                <w:rFonts w:cs="Arial"/>
                <w:sz w:val="20"/>
                <w:szCs w:val="20"/>
              </w:rPr>
              <w:t>Termly Parental Workshops</w:t>
            </w:r>
          </w:p>
          <w:p w14:paraId="2A7D5538" w14:textId="2BEE2C31" w:rsidR="00E66558" w:rsidRDefault="00E66558" w:rsidP="00C31636">
            <w:pPr>
              <w:pStyle w:val="TableRow"/>
              <w:ind w:left="0" w:right="0"/>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38399" w14:textId="77777777" w:rsidR="00F85DE7" w:rsidRDefault="00AD6B5E" w:rsidP="00F85DE7">
            <w:pPr>
              <w:suppressAutoHyphens w:val="0"/>
              <w:autoSpaceDN/>
              <w:spacing w:after="0" w:line="240" w:lineRule="auto"/>
              <w:rPr>
                <w:rFonts w:cs="Arial"/>
                <w:sz w:val="20"/>
                <w:szCs w:val="20"/>
              </w:rPr>
            </w:pPr>
            <w:hyperlink r:id="rId20" w:history="1">
              <w:r w:rsidR="00F85DE7" w:rsidRPr="00675762">
                <w:rPr>
                  <w:rStyle w:val="Hyperlink"/>
                  <w:rFonts w:cs="Arial"/>
                  <w:sz w:val="20"/>
                  <w:szCs w:val="20"/>
                </w:rPr>
                <w:t>Improving Social and Emotional Learning in Primary Schools | EEF</w:t>
              </w:r>
            </w:hyperlink>
          </w:p>
          <w:p w14:paraId="6CEC4325" w14:textId="77777777" w:rsidR="00F85DE7" w:rsidRDefault="00F85DE7" w:rsidP="00F85DE7">
            <w:pPr>
              <w:numPr>
                <w:ilvl w:val="0"/>
                <w:numId w:val="1"/>
              </w:numPr>
              <w:suppressAutoHyphens w:val="0"/>
              <w:autoSpaceDN/>
              <w:spacing w:after="0" w:line="240" w:lineRule="auto"/>
              <w:rPr>
                <w:rFonts w:cs="Arial"/>
                <w:sz w:val="20"/>
                <w:szCs w:val="20"/>
              </w:rPr>
            </w:pPr>
            <w:r w:rsidRPr="00B9545E">
              <w:rPr>
                <w:rFonts w:cs="Arial"/>
                <w:sz w:val="20"/>
                <w:szCs w:val="20"/>
              </w:rPr>
              <w:t xml:space="preserve">Evidence from the EEF’s Teaching and Learning Toolkit suggests that effective SEL can lead to learning gains of +4 months over the course of a year. </w:t>
            </w:r>
          </w:p>
          <w:p w14:paraId="3ED8D5FB" w14:textId="77777777" w:rsidR="00F85DE7" w:rsidRDefault="00F85DE7" w:rsidP="00F85DE7">
            <w:pPr>
              <w:numPr>
                <w:ilvl w:val="0"/>
                <w:numId w:val="1"/>
              </w:numPr>
              <w:suppressAutoHyphens w:val="0"/>
              <w:autoSpaceDN/>
              <w:spacing w:after="0" w:line="240" w:lineRule="auto"/>
              <w:rPr>
                <w:rFonts w:cs="Arial"/>
                <w:sz w:val="20"/>
                <w:szCs w:val="20"/>
              </w:rPr>
            </w:pPr>
          </w:p>
          <w:p w14:paraId="1F95DB9F" w14:textId="77777777" w:rsidR="00F85DE7" w:rsidRPr="00A539C8" w:rsidRDefault="00F85DE7" w:rsidP="00F85DE7">
            <w:pPr>
              <w:suppressAutoHyphens w:val="0"/>
              <w:autoSpaceDN/>
              <w:spacing w:after="0" w:line="240" w:lineRule="auto"/>
              <w:rPr>
                <w:rFonts w:cs="Arial"/>
                <w:sz w:val="20"/>
                <w:szCs w:val="20"/>
              </w:rPr>
            </w:pPr>
            <w:r>
              <w:rPr>
                <w:rFonts w:cs="Arial"/>
                <w:sz w:val="20"/>
                <w:szCs w:val="20"/>
              </w:rPr>
              <w:t xml:space="preserve">Our aim is to strengthen our whole school offer approach additional to this to reduce our early help intake. </w:t>
            </w:r>
          </w:p>
          <w:p w14:paraId="2A7D5539"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3E290" w14:textId="77777777" w:rsidR="00E66558" w:rsidRDefault="00F85DE7" w:rsidP="00C31636">
            <w:pPr>
              <w:pStyle w:val="TableRowCentered"/>
              <w:ind w:left="0" w:right="0"/>
              <w:jc w:val="left"/>
              <w:rPr>
                <w:sz w:val="22"/>
              </w:rPr>
            </w:pPr>
            <w:r>
              <w:rPr>
                <w:sz w:val="22"/>
              </w:rPr>
              <w:t>2</w:t>
            </w:r>
          </w:p>
          <w:p w14:paraId="2A7D553A" w14:textId="3407B27D" w:rsidR="00F85DE7" w:rsidRDefault="00F85DE7" w:rsidP="00C31636">
            <w:pPr>
              <w:pStyle w:val="TableRowCentered"/>
              <w:ind w:left="0" w:right="0"/>
              <w:jc w:val="left"/>
              <w:rPr>
                <w:sz w:val="22"/>
              </w:rPr>
            </w:pPr>
            <w:r>
              <w:rPr>
                <w:sz w:val="22"/>
              </w:rPr>
              <w:t>4</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77777777" w:rsidR="00E66558" w:rsidRDefault="00E66558" w:rsidP="00C31636">
            <w:pPr>
              <w:pStyle w:val="TableRow"/>
              <w:ind w:left="0" w:right="0"/>
              <w:rPr>
                <w:i/>
                <w:sz w:val="22"/>
              </w:rPr>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7777777" w:rsidR="00E66558" w:rsidRDefault="00E66558" w:rsidP="00C31636">
            <w:pPr>
              <w:pStyle w:val="TableRowCentered"/>
              <w:ind w:left="0" w:right="0"/>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7777777" w:rsidR="00E66558" w:rsidRDefault="00E66558" w:rsidP="00C31636">
            <w:pPr>
              <w:pStyle w:val="TableRowCentered"/>
              <w:ind w:left="0" w:right="0"/>
              <w:jc w:val="left"/>
              <w:rPr>
                <w:sz w:val="22"/>
              </w:rPr>
            </w:pPr>
          </w:p>
        </w:tc>
      </w:tr>
    </w:tbl>
    <w:p w14:paraId="2A7D5540" w14:textId="77777777" w:rsidR="00E66558" w:rsidRDefault="00E66558">
      <w:pPr>
        <w:spacing w:before="240" w:after="0"/>
        <w:rPr>
          <w:b/>
          <w:bCs/>
          <w:color w:val="104F75"/>
          <w:sz w:val="28"/>
          <w:szCs w:val="28"/>
        </w:rPr>
      </w:pPr>
    </w:p>
    <w:p w14:paraId="2A7D5541" w14:textId="77777777" w:rsidR="00E66558" w:rsidRDefault="009D71E8" w:rsidP="00120AB1">
      <w:r>
        <w:rPr>
          <w:b/>
          <w:bCs/>
          <w:color w:val="104F75"/>
          <w:sz w:val="28"/>
          <w:szCs w:val="28"/>
        </w:rPr>
        <w:t xml:space="preserve">Total budgeted cost: £ </w:t>
      </w:r>
      <w:r>
        <w:rPr>
          <w:i/>
          <w:iCs/>
          <w:color w:val="104F75"/>
          <w:sz w:val="28"/>
          <w:szCs w:val="28"/>
        </w:rPr>
        <w:t>[insert sum of 3 amounts stated above]</w:t>
      </w:r>
    </w:p>
    <w:p w14:paraId="2A7D5542" w14:textId="7BF9DD7F" w:rsidR="00E66558" w:rsidRPr="00064366" w:rsidRDefault="009D71E8" w:rsidP="00064366">
      <w:pPr>
        <w:pStyle w:val="Heading1"/>
      </w:pPr>
      <w:r w:rsidRPr="00064366">
        <w:t>Part B: Review of the previous academic year</w:t>
      </w:r>
      <w:r w:rsidR="00E44FCA">
        <w:t xml:space="preserve"> </w:t>
      </w:r>
      <w:r w:rsidR="00E44FCA" w:rsidRPr="00E44FCA">
        <w:rPr>
          <w:sz w:val="22"/>
          <w:szCs w:val="22"/>
        </w:rPr>
        <w:t>2024 - 2025</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9D5EE5" w14:textId="77777777" w:rsidR="00E44FCA" w:rsidRDefault="00E44FCA" w:rsidP="00E44FCA">
            <w:pPr>
              <w:spacing w:after="0" w:line="240" w:lineRule="auto"/>
              <w:jc w:val="both"/>
              <w:rPr>
                <w:lang w:val="en-US"/>
              </w:rPr>
            </w:pPr>
            <w:r w:rsidRPr="00244EEA">
              <w:t>We have analysed the performance of our school’s disadvantaged pupils during the previous academic year, drawing on national assessment data and our own internal data</w:t>
            </w:r>
            <w:r>
              <w:t xml:space="preserve">. </w:t>
            </w:r>
            <w:r w:rsidRPr="00156A30">
              <w:rPr>
                <w:lang w:val="en-US"/>
              </w:rPr>
              <w:t xml:space="preserve">The school’s strategic approach continues to secure strong outcomes for disadvantaged pupils, particularly in reading, phonics and overall </w:t>
            </w:r>
            <w:r>
              <w:rPr>
                <w:lang w:val="en-US"/>
              </w:rPr>
              <w:t xml:space="preserve">inclusion and </w:t>
            </w:r>
            <w:r w:rsidRPr="00156A30">
              <w:rPr>
                <w:lang w:val="en-US"/>
              </w:rPr>
              <w:t>engagement in school life. Disadvantaged pupils benefit from a coherent combination of high-quality teaching, early intervention, and SEMH provision, which has contributed to closing the gap in key areas of attainment and progress.</w:t>
            </w:r>
          </w:p>
          <w:p w14:paraId="2F4E2A38" w14:textId="77777777" w:rsidR="00E44FCA" w:rsidRPr="00156A30" w:rsidRDefault="00E44FCA" w:rsidP="00E44FCA">
            <w:pPr>
              <w:spacing w:after="0" w:line="240" w:lineRule="auto"/>
              <w:jc w:val="both"/>
              <w:rPr>
                <w:lang w:val="en-US"/>
              </w:rPr>
            </w:pPr>
          </w:p>
          <w:p w14:paraId="64B67491" w14:textId="77777777" w:rsidR="00E44FCA" w:rsidRPr="004B5318" w:rsidRDefault="00E44FCA" w:rsidP="00AD6B5E">
            <w:pPr>
              <w:numPr>
                <w:ilvl w:val="0"/>
                <w:numId w:val="22"/>
              </w:numPr>
              <w:spacing w:after="0" w:line="240" w:lineRule="auto"/>
              <w:jc w:val="both"/>
            </w:pPr>
            <w:r w:rsidRPr="004B5318">
              <w:rPr>
                <w:b/>
                <w:bCs/>
              </w:rPr>
              <w:t>Reading</w:t>
            </w:r>
            <w:r w:rsidRPr="004B5318">
              <w:t xml:space="preserve">: 100% of disadvantaged pupils achieved EXS+ </w:t>
            </w:r>
            <w:r>
              <w:t>by the end of KS2. T</w:t>
            </w:r>
            <w:r w:rsidRPr="004B5318">
              <w:t xml:space="preserve">his is a strength and </w:t>
            </w:r>
            <w:r>
              <w:t>demonstrates</w:t>
            </w:r>
            <w:r w:rsidRPr="004B5318">
              <w:t xml:space="preserve"> high</w:t>
            </w:r>
            <w:r w:rsidRPr="004B5318">
              <w:noBreakHyphen/>
              <w:t xml:space="preserve">quality first teaching, consistent phonics and </w:t>
            </w:r>
            <w:r>
              <w:t xml:space="preserve">an </w:t>
            </w:r>
            <w:r w:rsidRPr="004B5318">
              <w:t>effective reading culture</w:t>
            </w:r>
            <w:r>
              <w:t xml:space="preserve"> is having a positive impact on progress.</w:t>
            </w:r>
          </w:p>
          <w:p w14:paraId="46A2D0CB" w14:textId="77777777" w:rsidR="00E44FCA" w:rsidRPr="004B5318" w:rsidRDefault="00E44FCA" w:rsidP="00AD6B5E">
            <w:pPr>
              <w:numPr>
                <w:ilvl w:val="0"/>
                <w:numId w:val="22"/>
              </w:numPr>
              <w:spacing w:after="0" w:line="240" w:lineRule="auto"/>
              <w:jc w:val="both"/>
            </w:pPr>
            <w:r w:rsidRPr="004B5318">
              <w:rPr>
                <w:b/>
                <w:bCs/>
              </w:rPr>
              <w:t>Phonics</w:t>
            </w:r>
            <w:r w:rsidRPr="004B5318">
              <w:t xml:space="preserve">: 100% of disadvantaged pupils passed the Phonics Screening Check (PSC), showing fidelity to </w:t>
            </w:r>
            <w:r>
              <w:t>the RWI</w:t>
            </w:r>
            <w:r w:rsidRPr="004B5318">
              <w:t xml:space="preserve"> phonics programme and </w:t>
            </w:r>
            <w:r>
              <w:t>effective</w:t>
            </w:r>
            <w:r w:rsidRPr="004B5318">
              <w:t xml:space="preserve"> intervention</w:t>
            </w:r>
            <w:r>
              <w:t>.</w:t>
            </w:r>
          </w:p>
          <w:p w14:paraId="6F30C7B9" w14:textId="77777777" w:rsidR="00E44FCA" w:rsidRPr="004B5318" w:rsidRDefault="00E44FCA" w:rsidP="00AD6B5E">
            <w:pPr>
              <w:numPr>
                <w:ilvl w:val="0"/>
                <w:numId w:val="22"/>
              </w:numPr>
              <w:spacing w:after="0" w:line="240" w:lineRule="auto"/>
              <w:jc w:val="both"/>
            </w:pPr>
            <w:r w:rsidRPr="004B5318">
              <w:rPr>
                <w:b/>
                <w:bCs/>
              </w:rPr>
              <w:t>Inclusion &amp; enrichment</w:t>
            </w:r>
            <w:r w:rsidRPr="004B5318">
              <w:t xml:space="preserve">: 100% of disadvantaged pupils participated in at least two enrichment visits and two extracurricular activities; attendance and engagement for PP are described as strong. This aligns to </w:t>
            </w:r>
            <w:r>
              <w:t>our</w:t>
            </w:r>
            <w:r w:rsidRPr="004B5318">
              <w:t xml:space="preserve"> “whole child” intent and cultural capital aim</w:t>
            </w:r>
            <w:r>
              <w:t>.</w:t>
            </w:r>
          </w:p>
          <w:p w14:paraId="3D6AE517" w14:textId="77777777" w:rsidR="00E44FCA" w:rsidRPr="004B5318" w:rsidRDefault="00E44FCA" w:rsidP="00AD6B5E">
            <w:pPr>
              <w:numPr>
                <w:ilvl w:val="0"/>
                <w:numId w:val="22"/>
              </w:numPr>
              <w:spacing w:after="0" w:line="240" w:lineRule="auto"/>
              <w:jc w:val="both"/>
            </w:pPr>
            <w:r w:rsidRPr="004B5318">
              <w:rPr>
                <w:b/>
                <w:bCs/>
              </w:rPr>
              <w:t>SEMH support</w:t>
            </w:r>
            <w:r w:rsidRPr="004B5318">
              <w:t>: Pupils accessing SEMH provision show improved self</w:t>
            </w:r>
            <w:r w:rsidRPr="004B5318">
              <w:noBreakHyphen/>
              <w:t xml:space="preserve">regulation, confidence </w:t>
            </w:r>
            <w:r>
              <w:t xml:space="preserve">through observations and pupil voice, </w:t>
            </w:r>
            <w:r w:rsidRPr="004B5318">
              <w:t xml:space="preserve">and fewer dysregulation incidents; staff CPD </w:t>
            </w:r>
            <w:r>
              <w:t>is</w:t>
            </w:r>
            <w:r w:rsidRPr="004B5318">
              <w:t xml:space="preserve"> translating into practice.</w:t>
            </w:r>
          </w:p>
          <w:p w14:paraId="48E377F3" w14:textId="2A7A878A" w:rsidR="00E44FCA" w:rsidRDefault="00E44FCA" w:rsidP="00E44FCA">
            <w:pPr>
              <w:spacing w:after="0" w:line="240" w:lineRule="auto"/>
              <w:jc w:val="both"/>
            </w:pPr>
          </w:p>
          <w:p w14:paraId="597D81E3" w14:textId="494367A6" w:rsidR="00E44FCA" w:rsidRDefault="00E44FCA" w:rsidP="00E44FCA">
            <w:pPr>
              <w:spacing w:after="0" w:line="240" w:lineRule="auto"/>
              <w:jc w:val="both"/>
            </w:pPr>
          </w:p>
          <w:p w14:paraId="3EECCEC9" w14:textId="0CAF4696" w:rsidR="00E44FCA" w:rsidRDefault="00E44FCA" w:rsidP="00E44FCA">
            <w:pPr>
              <w:spacing w:after="0" w:line="240" w:lineRule="auto"/>
              <w:jc w:val="both"/>
            </w:pPr>
            <w:r>
              <w:t>Comparisons with national data demonstrates that on average our d</w:t>
            </w:r>
            <w:r w:rsidRPr="0023630D">
              <w:t xml:space="preserve">isadvantaged pupils at our school </w:t>
            </w:r>
            <w:r>
              <w:t>are making significantly better progress that the</w:t>
            </w:r>
            <w:r w:rsidRPr="0023630D">
              <w:t xml:space="preserve"> national averages in early reading, KS2 reading, and maths. </w:t>
            </w:r>
          </w:p>
          <w:p w14:paraId="1DC5CF63" w14:textId="5E8CF370" w:rsidR="00E44FCA" w:rsidRDefault="00E44FCA" w:rsidP="00E44FCA">
            <w:pPr>
              <w:spacing w:after="0" w:line="240" w:lineRule="auto"/>
              <w:jc w:val="both"/>
            </w:pPr>
            <w:r w:rsidRPr="00D83B8B">
              <w:rPr>
                <w:noProof/>
              </w:rPr>
              <w:drawing>
                <wp:anchor distT="0" distB="0" distL="114300" distR="114300" simplePos="0" relativeHeight="251659264" behindDoc="0" locked="0" layoutInCell="1" allowOverlap="1" wp14:anchorId="5EB50BD5" wp14:editId="3BB35ADB">
                  <wp:simplePos x="0" y="0"/>
                  <wp:positionH relativeFrom="margin">
                    <wp:posOffset>573405</wp:posOffset>
                  </wp:positionH>
                  <wp:positionV relativeFrom="paragraph">
                    <wp:posOffset>117475</wp:posOffset>
                  </wp:positionV>
                  <wp:extent cx="4559300" cy="2701925"/>
                  <wp:effectExtent l="0" t="0" r="0" b="3175"/>
                  <wp:wrapSquare wrapText="bothSides"/>
                  <wp:docPr id="959780215" name="Picture 1" descr="A graph of different colored colum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80215" name="Picture 1" descr="A graph of different colored columns&#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559300" cy="2701925"/>
                          </a:xfrm>
                          <a:prstGeom prst="rect">
                            <a:avLst/>
                          </a:prstGeom>
                        </pic:spPr>
                      </pic:pic>
                    </a:graphicData>
                  </a:graphic>
                  <wp14:sizeRelH relativeFrom="page">
                    <wp14:pctWidth>0</wp14:pctWidth>
                  </wp14:sizeRelH>
                  <wp14:sizeRelV relativeFrom="page">
                    <wp14:pctHeight>0</wp14:pctHeight>
                  </wp14:sizeRelV>
                </wp:anchor>
              </w:drawing>
            </w:r>
          </w:p>
          <w:p w14:paraId="48B1BEB0" w14:textId="6460543F" w:rsidR="00E44FCA" w:rsidRDefault="00E44FCA" w:rsidP="00E44FCA">
            <w:pPr>
              <w:spacing w:after="0" w:line="240" w:lineRule="auto"/>
              <w:jc w:val="both"/>
            </w:pPr>
          </w:p>
          <w:p w14:paraId="65ED48D7" w14:textId="35EBEF83" w:rsidR="00E44FCA" w:rsidRDefault="00E44FCA" w:rsidP="00E44FCA">
            <w:pPr>
              <w:jc w:val="both"/>
            </w:pPr>
          </w:p>
          <w:p w14:paraId="5B105751" w14:textId="3139DEA0" w:rsidR="00E44FCA" w:rsidRDefault="00E44FCA" w:rsidP="00E44FCA">
            <w:pPr>
              <w:spacing w:after="0" w:line="240" w:lineRule="auto"/>
              <w:jc w:val="both"/>
              <w:rPr>
                <w:i/>
                <w:iCs/>
              </w:rPr>
            </w:pPr>
          </w:p>
          <w:p w14:paraId="1CF297E5" w14:textId="65F32D81" w:rsidR="00E44FCA" w:rsidRDefault="00E44FCA" w:rsidP="00E44FCA">
            <w:pPr>
              <w:spacing w:after="0" w:line="240" w:lineRule="auto"/>
              <w:jc w:val="both"/>
              <w:rPr>
                <w:b/>
                <w:bCs/>
              </w:rPr>
            </w:pPr>
            <w:r w:rsidRPr="004B5318">
              <w:rPr>
                <w:b/>
                <w:bCs/>
              </w:rPr>
              <w:t xml:space="preserve"> </w:t>
            </w:r>
          </w:p>
          <w:p w14:paraId="21B9DB06" w14:textId="5EEF6CCE" w:rsidR="00E44FCA" w:rsidRDefault="00E44FCA" w:rsidP="00E44FCA">
            <w:pPr>
              <w:spacing w:after="0" w:line="240" w:lineRule="auto"/>
              <w:jc w:val="both"/>
              <w:rPr>
                <w:b/>
                <w:bCs/>
              </w:rPr>
            </w:pPr>
          </w:p>
          <w:p w14:paraId="72143CCF" w14:textId="7995893B" w:rsidR="00E44FCA" w:rsidRDefault="00E44FCA" w:rsidP="00E44FCA">
            <w:pPr>
              <w:spacing w:after="0" w:line="240" w:lineRule="auto"/>
              <w:jc w:val="both"/>
              <w:rPr>
                <w:b/>
                <w:bCs/>
              </w:rPr>
            </w:pPr>
          </w:p>
          <w:p w14:paraId="0D6DC3EB" w14:textId="73778B3B" w:rsidR="00E44FCA" w:rsidRDefault="00E44FCA" w:rsidP="00E44FCA">
            <w:pPr>
              <w:spacing w:after="0" w:line="240" w:lineRule="auto"/>
              <w:jc w:val="both"/>
              <w:rPr>
                <w:b/>
                <w:bCs/>
              </w:rPr>
            </w:pPr>
          </w:p>
          <w:p w14:paraId="4701C571" w14:textId="10F3B293" w:rsidR="00E44FCA" w:rsidRDefault="00E44FCA" w:rsidP="00E44FCA">
            <w:pPr>
              <w:spacing w:after="0" w:line="240" w:lineRule="auto"/>
              <w:jc w:val="both"/>
              <w:rPr>
                <w:b/>
                <w:bCs/>
              </w:rPr>
            </w:pPr>
          </w:p>
          <w:p w14:paraId="4526D5BC" w14:textId="77777777" w:rsidR="00E44FCA" w:rsidRDefault="00E44FCA" w:rsidP="00E44FCA">
            <w:pPr>
              <w:spacing w:after="0" w:line="240" w:lineRule="auto"/>
              <w:jc w:val="both"/>
              <w:rPr>
                <w:b/>
                <w:bCs/>
              </w:rPr>
            </w:pPr>
          </w:p>
          <w:p w14:paraId="33D10096" w14:textId="77777777" w:rsidR="00E44FCA" w:rsidRDefault="00E44FCA" w:rsidP="00E44FCA">
            <w:pPr>
              <w:spacing w:after="0" w:line="240" w:lineRule="auto"/>
              <w:jc w:val="both"/>
              <w:rPr>
                <w:b/>
                <w:bCs/>
              </w:rPr>
            </w:pPr>
          </w:p>
          <w:p w14:paraId="2D72613D" w14:textId="77777777" w:rsidR="00E44FCA" w:rsidRDefault="00E44FCA" w:rsidP="00E44FCA">
            <w:pPr>
              <w:spacing w:after="0" w:line="240" w:lineRule="auto"/>
              <w:jc w:val="both"/>
              <w:rPr>
                <w:b/>
                <w:bCs/>
              </w:rPr>
            </w:pPr>
          </w:p>
          <w:p w14:paraId="33D60FEF" w14:textId="77777777" w:rsidR="00E44FCA" w:rsidRDefault="00E44FCA" w:rsidP="00E44FCA">
            <w:pPr>
              <w:spacing w:after="0" w:line="240" w:lineRule="auto"/>
              <w:jc w:val="both"/>
              <w:rPr>
                <w:b/>
                <w:bCs/>
              </w:rPr>
            </w:pPr>
          </w:p>
          <w:p w14:paraId="20466AAD" w14:textId="77777777" w:rsidR="00E44FCA" w:rsidRDefault="00E44FCA" w:rsidP="00E44FCA">
            <w:pPr>
              <w:spacing w:after="0" w:line="240" w:lineRule="auto"/>
              <w:jc w:val="both"/>
              <w:rPr>
                <w:b/>
                <w:bCs/>
              </w:rPr>
            </w:pPr>
          </w:p>
          <w:p w14:paraId="2A006D4C" w14:textId="77777777" w:rsidR="00E44FCA" w:rsidRDefault="00E44FCA" w:rsidP="00E44FCA">
            <w:pPr>
              <w:spacing w:after="0" w:line="240" w:lineRule="auto"/>
              <w:jc w:val="both"/>
              <w:rPr>
                <w:b/>
                <w:bCs/>
              </w:rPr>
            </w:pPr>
          </w:p>
          <w:p w14:paraId="788EDD56" w14:textId="77777777" w:rsidR="00E44FCA" w:rsidRDefault="00E44FCA" w:rsidP="00E44FCA">
            <w:pPr>
              <w:rPr>
                <w:b/>
                <w:bCs/>
              </w:rPr>
            </w:pPr>
          </w:p>
          <w:p w14:paraId="4C922582" w14:textId="77777777" w:rsidR="00E44FCA" w:rsidRDefault="00E44FCA" w:rsidP="00E44FCA">
            <w:pPr>
              <w:rPr>
                <w:b/>
                <w:bCs/>
              </w:rPr>
            </w:pPr>
          </w:p>
          <w:p w14:paraId="6070F7E0" w14:textId="77777777" w:rsidR="00E44FCA" w:rsidRDefault="00E44FCA" w:rsidP="00E44FCA">
            <w:pPr>
              <w:rPr>
                <w:b/>
                <w:bCs/>
              </w:rPr>
            </w:pPr>
          </w:p>
          <w:p w14:paraId="6D6DD001" w14:textId="1DB5BF1A" w:rsidR="00E44FCA" w:rsidRDefault="00E44FCA" w:rsidP="00E44FCA">
            <w:pPr>
              <w:rPr>
                <w:b/>
                <w:bCs/>
              </w:rPr>
            </w:pPr>
            <w:r w:rsidRPr="005001B1">
              <w:rPr>
                <w:b/>
                <w:bCs/>
              </w:rPr>
              <w:t>Overall Outcomes – Good Progress</w:t>
            </w:r>
          </w:p>
          <w:p w14:paraId="28D19693" w14:textId="77777777" w:rsidR="00E44FCA" w:rsidRPr="005001B1" w:rsidRDefault="00E44FCA" w:rsidP="00E44FCA">
            <w:pPr>
              <w:rPr>
                <w:b/>
                <w:bCs/>
              </w:rPr>
            </w:pPr>
            <w:r w:rsidRPr="005001B1">
              <w:t>Our strategy has successfully met its intended outcomes, and we will continue to build on these achievements within the next cycle. While an attainment gap remains between disadvantaged and non-disadvantaged cohorts, disadvantaged pupils have made strong progress against our targets. Moving forward, our focus will be on sustaining this trajectory and further enhancing their aspirational capacity to achieve their full potential.</w:t>
            </w:r>
          </w:p>
          <w:p w14:paraId="0B8A4193" w14:textId="77777777" w:rsidR="00E44FCA" w:rsidRPr="005001B1" w:rsidRDefault="00E44FCA" w:rsidP="00E44FCA">
            <w:pPr>
              <w:rPr>
                <w:b/>
                <w:bCs/>
              </w:rPr>
            </w:pPr>
            <w:r w:rsidRPr="005001B1">
              <w:rPr>
                <w:b/>
                <w:bCs/>
              </w:rPr>
              <w:t>Teaching – Good Progress</w:t>
            </w:r>
          </w:p>
          <w:p w14:paraId="52025268" w14:textId="77777777" w:rsidR="00E44FCA" w:rsidRPr="005001B1" w:rsidRDefault="00E44FCA" w:rsidP="00E44FCA">
            <w:r w:rsidRPr="005001B1">
              <w:t>School data evidences excellent progress in phonics and reading for disadvantaged pupils, which has significantly enriched vocabulary development. These gains reflect the impact of high-quality teaching and targeted interventions. However, writing remains a key priority for 2025–26, as the internal gap is wider than national averages. Current KS2 writing outcomes show disadvantaged pupils at 66.7% compared to 93.1% for non-disadvantaged peers. Our strategic aim is to narrow this gap by at least 10 percentage points through focused teaching and intervention.</w:t>
            </w:r>
          </w:p>
          <w:p w14:paraId="3E204DDA" w14:textId="77777777" w:rsidR="00E44FCA" w:rsidRPr="005001B1" w:rsidRDefault="00E44FCA" w:rsidP="00E44FCA">
            <w:pPr>
              <w:rPr>
                <w:b/>
                <w:bCs/>
              </w:rPr>
            </w:pPr>
            <w:r w:rsidRPr="005001B1">
              <w:rPr>
                <w:b/>
                <w:bCs/>
              </w:rPr>
              <w:t>Targeted Academic Support – Average Progress</w:t>
            </w:r>
          </w:p>
          <w:p w14:paraId="78577783" w14:textId="77777777" w:rsidR="00E44FCA" w:rsidRPr="005001B1" w:rsidRDefault="00E44FCA" w:rsidP="00E44FCA">
            <w:r w:rsidRPr="005001B1">
              <w:t xml:space="preserve">Targeted interventions have accelerated progress in reading and early language for many disadvantaged pupils. Spelling and </w:t>
            </w:r>
            <w:r>
              <w:t>multiplication</w:t>
            </w:r>
            <w:r w:rsidRPr="005001B1">
              <w:t xml:space="preserve"> fluency remain areas for development. While maths attainment is strong—PP pupils achieving 83.3% at EXS in KS2, outperforming national disadvantaged by +22.3pp—internal gaps persist. Analysis shows a mean score gap of 2.6 points in the Multiplication Tables Check between PP and non-PP pupils. Our goal is to close this gap, raise the PP mean score to 21.5, and increase the proportion achieving full marks by 20%.</w:t>
            </w:r>
          </w:p>
          <w:p w14:paraId="4E90DC31" w14:textId="77777777" w:rsidR="00E44FCA" w:rsidRPr="005001B1" w:rsidRDefault="00E44FCA" w:rsidP="00E44FCA">
            <w:pPr>
              <w:rPr>
                <w:b/>
                <w:bCs/>
              </w:rPr>
            </w:pPr>
            <w:r w:rsidRPr="005001B1">
              <w:rPr>
                <w:b/>
                <w:bCs/>
              </w:rPr>
              <w:t>Wider Strategies – Good Progress</w:t>
            </w:r>
          </w:p>
          <w:p w14:paraId="265C2A88" w14:textId="77777777" w:rsidR="00E44FCA" w:rsidRPr="005001B1" w:rsidRDefault="00E44FCA" w:rsidP="00E44FCA">
            <w:r w:rsidRPr="005001B1">
              <w:t>Wider strategies have been highly effective in reducing non-academic barriers, improving wellbeing, and fostering inclusion and aspiration. Disadvantaged pupils demonstrate improved emotional regulation and self-esteem, and attendance remains high. All PP pupils accessed enrichment and cultural capital opportunities. Although SEMH demand remains significant, it has decreased over the academic year—from 52% to 45% of PP pupils accessing SEMH provision—highlighting the need to continue strengthening universal relational practice and targeted capacity.</w:t>
            </w:r>
          </w:p>
          <w:p w14:paraId="38D85802" w14:textId="77777777" w:rsidR="00E44FCA" w:rsidRPr="00074325" w:rsidRDefault="00E44FCA" w:rsidP="00E44FCA"/>
          <w:p w14:paraId="5023926C" w14:textId="458AD319" w:rsidR="0064167B" w:rsidRPr="002F4C6F" w:rsidRDefault="0064167B" w:rsidP="00242093">
            <w:pPr>
              <w:spacing w:before="60"/>
              <w:rPr>
                <w:i/>
                <w:iCs/>
                <w:lang w:eastAsia="en-US"/>
              </w:rPr>
            </w:pPr>
          </w:p>
        </w:tc>
      </w:tr>
    </w:tbl>
    <w:p w14:paraId="2A7D5548" w14:textId="0199D85C"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01A7FA3" w:rsidR="00E66558" w:rsidRDefault="00C94499" w:rsidP="00F54FCB">
            <w:pPr>
              <w:pStyle w:val="TableRow"/>
              <w:ind w:left="0" w:right="0"/>
            </w:pPr>
            <w:r>
              <w:t>N/A</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5BC06804" w:rsidR="00ED5108" w:rsidRDefault="00C94499" w:rsidP="00F54FCB">
            <w:r>
              <w:t>N/A</w:t>
            </w:r>
          </w:p>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22"/>
      <w:footerReference w:type="default" r:id="rId2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C0143" w14:textId="77777777" w:rsidR="00A866C2" w:rsidRDefault="00A866C2">
      <w:pPr>
        <w:spacing w:after="0" w:line="240" w:lineRule="auto"/>
      </w:pPr>
      <w:r>
        <w:separator/>
      </w:r>
    </w:p>
  </w:endnote>
  <w:endnote w:type="continuationSeparator" w:id="0">
    <w:p w14:paraId="23CC95A8" w14:textId="77777777" w:rsidR="00A866C2" w:rsidRDefault="00A866C2">
      <w:pPr>
        <w:spacing w:after="0" w:line="240" w:lineRule="auto"/>
      </w:pPr>
      <w:r>
        <w:continuationSeparator/>
      </w:r>
    </w:p>
  </w:endnote>
  <w:endnote w:type="continuationNotice" w:id="1">
    <w:p w14:paraId="6A626BC3" w14:textId="77777777" w:rsidR="00A866C2" w:rsidRDefault="00A86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5FA9A046" w:rsidR="00C373EA" w:rsidRDefault="009D71E8">
    <w:pPr>
      <w:pStyle w:val="Footer"/>
      <w:ind w:firstLine="4513"/>
    </w:pPr>
    <w:r>
      <w:fldChar w:fldCharType="begin"/>
    </w:r>
    <w:r>
      <w:instrText xml:space="preserve"> PAGE </w:instrText>
    </w:r>
    <w:r>
      <w:fldChar w:fldCharType="separate"/>
    </w:r>
    <w:r w:rsidR="00AD6B5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F0798" w14:textId="77777777" w:rsidR="00A866C2" w:rsidRDefault="00A866C2">
      <w:pPr>
        <w:spacing w:after="0" w:line="240" w:lineRule="auto"/>
      </w:pPr>
      <w:r>
        <w:separator/>
      </w:r>
    </w:p>
  </w:footnote>
  <w:footnote w:type="continuationSeparator" w:id="0">
    <w:p w14:paraId="519038E0" w14:textId="77777777" w:rsidR="00A866C2" w:rsidRDefault="00A866C2">
      <w:pPr>
        <w:spacing w:after="0" w:line="240" w:lineRule="auto"/>
      </w:pPr>
      <w:r>
        <w:continuationSeparator/>
      </w:r>
    </w:p>
  </w:footnote>
  <w:footnote w:type="continuationNotice" w:id="1">
    <w:p w14:paraId="2B287DFD" w14:textId="77777777" w:rsidR="00A866C2" w:rsidRDefault="00A86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B3D"/>
    <w:multiLevelType w:val="multilevel"/>
    <w:tmpl w:val="EAB4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25CC1"/>
    <w:multiLevelType w:val="multilevel"/>
    <w:tmpl w:val="5FA2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BA66323"/>
    <w:multiLevelType w:val="multilevel"/>
    <w:tmpl w:val="1C8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E823C7F"/>
    <w:multiLevelType w:val="hybridMultilevel"/>
    <w:tmpl w:val="48D6B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E3F7B23"/>
    <w:multiLevelType w:val="multilevel"/>
    <w:tmpl w:val="851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D60B0"/>
    <w:multiLevelType w:val="multilevel"/>
    <w:tmpl w:val="F6E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77E0C"/>
    <w:multiLevelType w:val="hybridMultilevel"/>
    <w:tmpl w:val="D1B0023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61B82CA4"/>
    <w:multiLevelType w:val="multilevel"/>
    <w:tmpl w:val="BF9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7" w15:restartNumberingAfterBreak="0">
    <w:nsid w:val="6E3A0806"/>
    <w:multiLevelType w:val="hybridMultilevel"/>
    <w:tmpl w:val="2344562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9"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353074C"/>
    <w:multiLevelType w:val="hybridMultilevel"/>
    <w:tmpl w:val="5BF05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B4C59CD"/>
    <w:multiLevelType w:val="multilevel"/>
    <w:tmpl w:val="878A2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8"/>
  </w:num>
  <w:num w:numId="5">
    <w:abstractNumId w:val="2"/>
  </w:num>
  <w:num w:numId="6">
    <w:abstractNumId w:val="10"/>
  </w:num>
  <w:num w:numId="7">
    <w:abstractNumId w:val="15"/>
  </w:num>
  <w:num w:numId="8">
    <w:abstractNumId w:val="21"/>
  </w:num>
  <w:num w:numId="9">
    <w:abstractNumId w:val="18"/>
  </w:num>
  <w:num w:numId="10">
    <w:abstractNumId w:val="16"/>
  </w:num>
  <w:num w:numId="11">
    <w:abstractNumId w:val="5"/>
  </w:num>
  <w:num w:numId="12">
    <w:abstractNumId w:val="19"/>
  </w:num>
  <w:num w:numId="13">
    <w:abstractNumId w:val="9"/>
  </w:num>
  <w:num w:numId="14">
    <w:abstractNumId w:val="12"/>
  </w:num>
  <w:num w:numId="15">
    <w:abstractNumId w:val="0"/>
  </w:num>
  <w:num w:numId="16">
    <w:abstractNumId w:val="11"/>
  </w:num>
  <w:num w:numId="17">
    <w:abstractNumId w:val="1"/>
  </w:num>
  <w:num w:numId="18">
    <w:abstractNumId w:val="3"/>
  </w:num>
  <w:num w:numId="19">
    <w:abstractNumId w:val="13"/>
  </w:num>
  <w:num w:numId="20">
    <w:abstractNumId w:val="20"/>
  </w:num>
  <w:num w:numId="21">
    <w:abstractNumId w:val="17"/>
  </w:num>
  <w:num w:numId="22">
    <w:abstractNumId w:val="22"/>
  </w:num>
  <w:num w:numId="2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111E3"/>
    <w:rsid w:val="00023729"/>
    <w:rsid w:val="000243B4"/>
    <w:rsid w:val="00024B10"/>
    <w:rsid w:val="0002530E"/>
    <w:rsid w:val="0002710D"/>
    <w:rsid w:val="00031EA0"/>
    <w:rsid w:val="00036678"/>
    <w:rsid w:val="00043C55"/>
    <w:rsid w:val="000452EB"/>
    <w:rsid w:val="00045603"/>
    <w:rsid w:val="000463AE"/>
    <w:rsid w:val="000507A3"/>
    <w:rsid w:val="00054DC7"/>
    <w:rsid w:val="00060A62"/>
    <w:rsid w:val="00064366"/>
    <w:rsid w:val="00066B73"/>
    <w:rsid w:val="00071481"/>
    <w:rsid w:val="00071D77"/>
    <w:rsid w:val="00075FAE"/>
    <w:rsid w:val="00082F38"/>
    <w:rsid w:val="000837DB"/>
    <w:rsid w:val="0008384B"/>
    <w:rsid w:val="000929EC"/>
    <w:rsid w:val="00093CDE"/>
    <w:rsid w:val="000A5C58"/>
    <w:rsid w:val="000A6379"/>
    <w:rsid w:val="000A6638"/>
    <w:rsid w:val="000B0D49"/>
    <w:rsid w:val="000B203E"/>
    <w:rsid w:val="000D22B0"/>
    <w:rsid w:val="000D318D"/>
    <w:rsid w:val="000D35C9"/>
    <w:rsid w:val="000D520C"/>
    <w:rsid w:val="000D570F"/>
    <w:rsid w:val="000D6596"/>
    <w:rsid w:val="000D6779"/>
    <w:rsid w:val="000E39D6"/>
    <w:rsid w:val="000E6DF0"/>
    <w:rsid w:val="001037CB"/>
    <w:rsid w:val="00104718"/>
    <w:rsid w:val="0010629E"/>
    <w:rsid w:val="0010774B"/>
    <w:rsid w:val="00114288"/>
    <w:rsid w:val="00115538"/>
    <w:rsid w:val="00116FA8"/>
    <w:rsid w:val="00120AB1"/>
    <w:rsid w:val="00123A7F"/>
    <w:rsid w:val="001278D0"/>
    <w:rsid w:val="00127F72"/>
    <w:rsid w:val="00140646"/>
    <w:rsid w:val="0014409B"/>
    <w:rsid w:val="00147A4B"/>
    <w:rsid w:val="00152554"/>
    <w:rsid w:val="00155944"/>
    <w:rsid w:val="001559D7"/>
    <w:rsid w:val="0016523C"/>
    <w:rsid w:val="00165C87"/>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50B"/>
    <w:rsid w:val="001A285D"/>
    <w:rsid w:val="001A2FE8"/>
    <w:rsid w:val="001A33AC"/>
    <w:rsid w:val="001C1C51"/>
    <w:rsid w:val="001D22EC"/>
    <w:rsid w:val="001D4FC9"/>
    <w:rsid w:val="001E0ECA"/>
    <w:rsid w:val="001E206F"/>
    <w:rsid w:val="001E5750"/>
    <w:rsid w:val="001E66BA"/>
    <w:rsid w:val="001E7739"/>
    <w:rsid w:val="001F15D8"/>
    <w:rsid w:val="001F3DB4"/>
    <w:rsid w:val="001F7564"/>
    <w:rsid w:val="002032A7"/>
    <w:rsid w:val="00203DB9"/>
    <w:rsid w:val="00204F40"/>
    <w:rsid w:val="00205DEF"/>
    <w:rsid w:val="002112C3"/>
    <w:rsid w:val="002131E5"/>
    <w:rsid w:val="00216C8A"/>
    <w:rsid w:val="00226317"/>
    <w:rsid w:val="00227094"/>
    <w:rsid w:val="00231539"/>
    <w:rsid w:val="00242093"/>
    <w:rsid w:val="00243F22"/>
    <w:rsid w:val="002523E3"/>
    <w:rsid w:val="00252AD6"/>
    <w:rsid w:val="002542CE"/>
    <w:rsid w:val="00257A4E"/>
    <w:rsid w:val="00266FA5"/>
    <w:rsid w:val="00276FBA"/>
    <w:rsid w:val="00277665"/>
    <w:rsid w:val="002837AE"/>
    <w:rsid w:val="00286408"/>
    <w:rsid w:val="00287FA8"/>
    <w:rsid w:val="002920F4"/>
    <w:rsid w:val="002940F3"/>
    <w:rsid w:val="00295842"/>
    <w:rsid w:val="002A4F9D"/>
    <w:rsid w:val="002B1180"/>
    <w:rsid w:val="002B3574"/>
    <w:rsid w:val="002B6B74"/>
    <w:rsid w:val="002C5519"/>
    <w:rsid w:val="002C6AE7"/>
    <w:rsid w:val="002D2D4B"/>
    <w:rsid w:val="002D3805"/>
    <w:rsid w:val="002E66AE"/>
    <w:rsid w:val="002E7763"/>
    <w:rsid w:val="002F2D7F"/>
    <w:rsid w:val="002F4C6F"/>
    <w:rsid w:val="002F5011"/>
    <w:rsid w:val="002F5842"/>
    <w:rsid w:val="002F7847"/>
    <w:rsid w:val="00306CB7"/>
    <w:rsid w:val="00307ABF"/>
    <w:rsid w:val="003111F5"/>
    <w:rsid w:val="00317664"/>
    <w:rsid w:val="00322968"/>
    <w:rsid w:val="00336087"/>
    <w:rsid w:val="00336200"/>
    <w:rsid w:val="00337418"/>
    <w:rsid w:val="00351D83"/>
    <w:rsid w:val="00352197"/>
    <w:rsid w:val="00353E46"/>
    <w:rsid w:val="003576C4"/>
    <w:rsid w:val="0036277A"/>
    <w:rsid w:val="0036492D"/>
    <w:rsid w:val="00366AB0"/>
    <w:rsid w:val="003700E8"/>
    <w:rsid w:val="00374265"/>
    <w:rsid w:val="0037437C"/>
    <w:rsid w:val="00381127"/>
    <w:rsid w:val="0038146B"/>
    <w:rsid w:val="003815A8"/>
    <w:rsid w:val="0038340F"/>
    <w:rsid w:val="00384457"/>
    <w:rsid w:val="00384F24"/>
    <w:rsid w:val="00391F58"/>
    <w:rsid w:val="003948BD"/>
    <w:rsid w:val="003A32B2"/>
    <w:rsid w:val="003A47DD"/>
    <w:rsid w:val="003A5F67"/>
    <w:rsid w:val="003A634F"/>
    <w:rsid w:val="003B14C1"/>
    <w:rsid w:val="003B2884"/>
    <w:rsid w:val="003B364E"/>
    <w:rsid w:val="003B4F7A"/>
    <w:rsid w:val="003B588A"/>
    <w:rsid w:val="003B621D"/>
    <w:rsid w:val="003C266D"/>
    <w:rsid w:val="003C4388"/>
    <w:rsid w:val="003C4C27"/>
    <w:rsid w:val="003C7F7B"/>
    <w:rsid w:val="003D0CD6"/>
    <w:rsid w:val="003D2EAA"/>
    <w:rsid w:val="003D448C"/>
    <w:rsid w:val="003D5498"/>
    <w:rsid w:val="003E054C"/>
    <w:rsid w:val="003E1EC5"/>
    <w:rsid w:val="003E27A0"/>
    <w:rsid w:val="003E3872"/>
    <w:rsid w:val="003F316E"/>
    <w:rsid w:val="003F72A2"/>
    <w:rsid w:val="004044AA"/>
    <w:rsid w:val="004044C8"/>
    <w:rsid w:val="00404F3F"/>
    <w:rsid w:val="00410B5D"/>
    <w:rsid w:val="00413BEC"/>
    <w:rsid w:val="00421B07"/>
    <w:rsid w:val="0042265E"/>
    <w:rsid w:val="00424ED7"/>
    <w:rsid w:val="00425258"/>
    <w:rsid w:val="00426217"/>
    <w:rsid w:val="00431A80"/>
    <w:rsid w:val="00432CD4"/>
    <w:rsid w:val="00433641"/>
    <w:rsid w:val="00435A89"/>
    <w:rsid w:val="004439C2"/>
    <w:rsid w:val="00446935"/>
    <w:rsid w:val="00452267"/>
    <w:rsid w:val="00453307"/>
    <w:rsid w:val="00454EE1"/>
    <w:rsid w:val="00455A02"/>
    <w:rsid w:val="0045683F"/>
    <w:rsid w:val="00457E36"/>
    <w:rsid w:val="00460BD3"/>
    <w:rsid w:val="00462F8F"/>
    <w:rsid w:val="004708F2"/>
    <w:rsid w:val="004724DE"/>
    <w:rsid w:val="004770FE"/>
    <w:rsid w:val="0048157F"/>
    <w:rsid w:val="00481D56"/>
    <w:rsid w:val="00482A30"/>
    <w:rsid w:val="00490408"/>
    <w:rsid w:val="004A4C45"/>
    <w:rsid w:val="004A55C4"/>
    <w:rsid w:val="004B0485"/>
    <w:rsid w:val="004B0ED7"/>
    <w:rsid w:val="004B1F58"/>
    <w:rsid w:val="004B428E"/>
    <w:rsid w:val="004B4D0A"/>
    <w:rsid w:val="004B4D37"/>
    <w:rsid w:val="004C42F0"/>
    <w:rsid w:val="004D3032"/>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32"/>
    <w:rsid w:val="005464A1"/>
    <w:rsid w:val="00546F12"/>
    <w:rsid w:val="0055167E"/>
    <w:rsid w:val="0055339C"/>
    <w:rsid w:val="005539F2"/>
    <w:rsid w:val="005542CC"/>
    <w:rsid w:val="00560424"/>
    <w:rsid w:val="00561BA6"/>
    <w:rsid w:val="00562B3C"/>
    <w:rsid w:val="005646FA"/>
    <w:rsid w:val="00564E40"/>
    <w:rsid w:val="005702D2"/>
    <w:rsid w:val="00573E1D"/>
    <w:rsid w:val="005750E2"/>
    <w:rsid w:val="0058313F"/>
    <w:rsid w:val="00585859"/>
    <w:rsid w:val="00586FBC"/>
    <w:rsid w:val="005879C9"/>
    <w:rsid w:val="00592DEE"/>
    <w:rsid w:val="00594CAD"/>
    <w:rsid w:val="005A1D0B"/>
    <w:rsid w:val="005A3C6B"/>
    <w:rsid w:val="005B1EA5"/>
    <w:rsid w:val="005C0BBD"/>
    <w:rsid w:val="005C54A0"/>
    <w:rsid w:val="005D0D15"/>
    <w:rsid w:val="005D7176"/>
    <w:rsid w:val="005E18CB"/>
    <w:rsid w:val="005E1F24"/>
    <w:rsid w:val="005E3667"/>
    <w:rsid w:val="005E73F1"/>
    <w:rsid w:val="005F047A"/>
    <w:rsid w:val="005F07EF"/>
    <w:rsid w:val="005F1694"/>
    <w:rsid w:val="005F16B6"/>
    <w:rsid w:val="005F2600"/>
    <w:rsid w:val="005F5224"/>
    <w:rsid w:val="005F76F4"/>
    <w:rsid w:val="005F7AA1"/>
    <w:rsid w:val="00600B2E"/>
    <w:rsid w:val="00601122"/>
    <w:rsid w:val="00603B1C"/>
    <w:rsid w:val="00606521"/>
    <w:rsid w:val="00607CEB"/>
    <w:rsid w:val="00613299"/>
    <w:rsid w:val="006133BD"/>
    <w:rsid w:val="0061762D"/>
    <w:rsid w:val="00634238"/>
    <w:rsid w:val="00635FBC"/>
    <w:rsid w:val="00636EB5"/>
    <w:rsid w:val="00637728"/>
    <w:rsid w:val="0064113A"/>
    <w:rsid w:val="0064167B"/>
    <w:rsid w:val="00643C2C"/>
    <w:rsid w:val="00643EFE"/>
    <w:rsid w:val="00643F96"/>
    <w:rsid w:val="00644002"/>
    <w:rsid w:val="0064526B"/>
    <w:rsid w:val="006458B1"/>
    <w:rsid w:val="00650529"/>
    <w:rsid w:val="00650BAB"/>
    <w:rsid w:val="00651737"/>
    <w:rsid w:val="00653AB9"/>
    <w:rsid w:val="00654E31"/>
    <w:rsid w:val="00656A8F"/>
    <w:rsid w:val="00661FDB"/>
    <w:rsid w:val="006652DD"/>
    <w:rsid w:val="006671BF"/>
    <w:rsid w:val="00671AEB"/>
    <w:rsid w:val="00672A7D"/>
    <w:rsid w:val="00673929"/>
    <w:rsid w:val="00681416"/>
    <w:rsid w:val="00691F26"/>
    <w:rsid w:val="006A06F5"/>
    <w:rsid w:val="006A0ED2"/>
    <w:rsid w:val="006B0A73"/>
    <w:rsid w:val="006B5A6B"/>
    <w:rsid w:val="006C0F82"/>
    <w:rsid w:val="006C17A8"/>
    <w:rsid w:val="006C25E8"/>
    <w:rsid w:val="006C332E"/>
    <w:rsid w:val="006C5901"/>
    <w:rsid w:val="006D00F1"/>
    <w:rsid w:val="006D2A70"/>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3C17"/>
    <w:rsid w:val="0073481D"/>
    <w:rsid w:val="00735F0C"/>
    <w:rsid w:val="00740162"/>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7179D"/>
    <w:rsid w:val="00781713"/>
    <w:rsid w:val="00785285"/>
    <w:rsid w:val="0078529D"/>
    <w:rsid w:val="00785E77"/>
    <w:rsid w:val="0078720B"/>
    <w:rsid w:val="00787DC1"/>
    <w:rsid w:val="00794070"/>
    <w:rsid w:val="007A63CA"/>
    <w:rsid w:val="007A713B"/>
    <w:rsid w:val="007A7DA0"/>
    <w:rsid w:val="007B64E5"/>
    <w:rsid w:val="007C2F04"/>
    <w:rsid w:val="007D618A"/>
    <w:rsid w:val="007F06E5"/>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5479"/>
    <w:rsid w:val="008674ED"/>
    <w:rsid w:val="0087074C"/>
    <w:rsid w:val="00871656"/>
    <w:rsid w:val="00874913"/>
    <w:rsid w:val="008749CF"/>
    <w:rsid w:val="00876B44"/>
    <w:rsid w:val="00883370"/>
    <w:rsid w:val="00883F24"/>
    <w:rsid w:val="0088430B"/>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2BA4"/>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7759A"/>
    <w:rsid w:val="00980937"/>
    <w:rsid w:val="00981C1D"/>
    <w:rsid w:val="0099048F"/>
    <w:rsid w:val="0099109C"/>
    <w:rsid w:val="009936DB"/>
    <w:rsid w:val="00993CFC"/>
    <w:rsid w:val="009A1DC2"/>
    <w:rsid w:val="009A5EEA"/>
    <w:rsid w:val="009B0906"/>
    <w:rsid w:val="009B38F2"/>
    <w:rsid w:val="009B7433"/>
    <w:rsid w:val="009C0914"/>
    <w:rsid w:val="009C27E5"/>
    <w:rsid w:val="009D24A1"/>
    <w:rsid w:val="009D3891"/>
    <w:rsid w:val="009D71E8"/>
    <w:rsid w:val="009E0CF5"/>
    <w:rsid w:val="009E104B"/>
    <w:rsid w:val="009E7DE4"/>
    <w:rsid w:val="009F322A"/>
    <w:rsid w:val="009F3BBD"/>
    <w:rsid w:val="00A022AB"/>
    <w:rsid w:val="00A063DD"/>
    <w:rsid w:val="00A112B5"/>
    <w:rsid w:val="00A14EEA"/>
    <w:rsid w:val="00A2010D"/>
    <w:rsid w:val="00A33636"/>
    <w:rsid w:val="00A44FBB"/>
    <w:rsid w:val="00A45C0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52F2"/>
    <w:rsid w:val="00A866C2"/>
    <w:rsid w:val="00A8712A"/>
    <w:rsid w:val="00A95F75"/>
    <w:rsid w:val="00A968DA"/>
    <w:rsid w:val="00A96B83"/>
    <w:rsid w:val="00AA2FC9"/>
    <w:rsid w:val="00AA355B"/>
    <w:rsid w:val="00AA3E4E"/>
    <w:rsid w:val="00AA42E5"/>
    <w:rsid w:val="00AA5238"/>
    <w:rsid w:val="00AB24FA"/>
    <w:rsid w:val="00AB5161"/>
    <w:rsid w:val="00AC4948"/>
    <w:rsid w:val="00AD2E8D"/>
    <w:rsid w:val="00AD6B5E"/>
    <w:rsid w:val="00AD7B5A"/>
    <w:rsid w:val="00AE229F"/>
    <w:rsid w:val="00AF0618"/>
    <w:rsid w:val="00AF0EB9"/>
    <w:rsid w:val="00AF5E20"/>
    <w:rsid w:val="00B002FA"/>
    <w:rsid w:val="00B00327"/>
    <w:rsid w:val="00B024B3"/>
    <w:rsid w:val="00B11DE8"/>
    <w:rsid w:val="00B179ED"/>
    <w:rsid w:val="00B206F6"/>
    <w:rsid w:val="00B20E18"/>
    <w:rsid w:val="00B331E1"/>
    <w:rsid w:val="00B4532A"/>
    <w:rsid w:val="00B47C66"/>
    <w:rsid w:val="00B572C4"/>
    <w:rsid w:val="00B60858"/>
    <w:rsid w:val="00B60D69"/>
    <w:rsid w:val="00B6234E"/>
    <w:rsid w:val="00B73A01"/>
    <w:rsid w:val="00B74D4E"/>
    <w:rsid w:val="00B76D59"/>
    <w:rsid w:val="00B80219"/>
    <w:rsid w:val="00B87184"/>
    <w:rsid w:val="00B91009"/>
    <w:rsid w:val="00B91453"/>
    <w:rsid w:val="00BA16B2"/>
    <w:rsid w:val="00BA19A5"/>
    <w:rsid w:val="00BB1800"/>
    <w:rsid w:val="00BB2907"/>
    <w:rsid w:val="00BB6902"/>
    <w:rsid w:val="00BC078B"/>
    <w:rsid w:val="00BC3A7D"/>
    <w:rsid w:val="00BC67F6"/>
    <w:rsid w:val="00BD2004"/>
    <w:rsid w:val="00BD4B12"/>
    <w:rsid w:val="00BD6767"/>
    <w:rsid w:val="00BD700D"/>
    <w:rsid w:val="00BE2F92"/>
    <w:rsid w:val="00BE44AC"/>
    <w:rsid w:val="00BE56E2"/>
    <w:rsid w:val="00BF0D5F"/>
    <w:rsid w:val="00BF30FC"/>
    <w:rsid w:val="00BF59B3"/>
    <w:rsid w:val="00BF644E"/>
    <w:rsid w:val="00BF6F95"/>
    <w:rsid w:val="00C07B15"/>
    <w:rsid w:val="00C10BCF"/>
    <w:rsid w:val="00C11EB4"/>
    <w:rsid w:val="00C12746"/>
    <w:rsid w:val="00C23C11"/>
    <w:rsid w:val="00C2441E"/>
    <w:rsid w:val="00C25827"/>
    <w:rsid w:val="00C31636"/>
    <w:rsid w:val="00C31BB8"/>
    <w:rsid w:val="00C373EA"/>
    <w:rsid w:val="00C43CA3"/>
    <w:rsid w:val="00C43D9D"/>
    <w:rsid w:val="00C43EA4"/>
    <w:rsid w:val="00C44188"/>
    <w:rsid w:val="00C45AD8"/>
    <w:rsid w:val="00C4787C"/>
    <w:rsid w:val="00C50040"/>
    <w:rsid w:val="00C52DFF"/>
    <w:rsid w:val="00C53002"/>
    <w:rsid w:val="00C574E1"/>
    <w:rsid w:val="00C621C1"/>
    <w:rsid w:val="00C62989"/>
    <w:rsid w:val="00C65CBB"/>
    <w:rsid w:val="00C73671"/>
    <w:rsid w:val="00C74684"/>
    <w:rsid w:val="00C77FEF"/>
    <w:rsid w:val="00C80F37"/>
    <w:rsid w:val="00C81AEE"/>
    <w:rsid w:val="00C831D7"/>
    <w:rsid w:val="00C83659"/>
    <w:rsid w:val="00C839C1"/>
    <w:rsid w:val="00C94499"/>
    <w:rsid w:val="00C97A7F"/>
    <w:rsid w:val="00CA4421"/>
    <w:rsid w:val="00CA5363"/>
    <w:rsid w:val="00CA7D07"/>
    <w:rsid w:val="00CA7E38"/>
    <w:rsid w:val="00CB24A4"/>
    <w:rsid w:val="00CB5B17"/>
    <w:rsid w:val="00CB6AA0"/>
    <w:rsid w:val="00CC247D"/>
    <w:rsid w:val="00CC4443"/>
    <w:rsid w:val="00CC5CAF"/>
    <w:rsid w:val="00CD11E4"/>
    <w:rsid w:val="00CD5429"/>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5C5B"/>
    <w:rsid w:val="00D46182"/>
    <w:rsid w:val="00D46C7D"/>
    <w:rsid w:val="00D501EE"/>
    <w:rsid w:val="00D517DC"/>
    <w:rsid w:val="00D5360D"/>
    <w:rsid w:val="00D5590D"/>
    <w:rsid w:val="00D618E4"/>
    <w:rsid w:val="00D61DA5"/>
    <w:rsid w:val="00D642A3"/>
    <w:rsid w:val="00D71B8A"/>
    <w:rsid w:val="00D72C08"/>
    <w:rsid w:val="00D73D00"/>
    <w:rsid w:val="00D75247"/>
    <w:rsid w:val="00D81325"/>
    <w:rsid w:val="00D875ED"/>
    <w:rsid w:val="00D877D0"/>
    <w:rsid w:val="00D90013"/>
    <w:rsid w:val="00D91B9C"/>
    <w:rsid w:val="00D92C1B"/>
    <w:rsid w:val="00D94CC7"/>
    <w:rsid w:val="00D96F1D"/>
    <w:rsid w:val="00D97901"/>
    <w:rsid w:val="00DA1AF4"/>
    <w:rsid w:val="00DB0C60"/>
    <w:rsid w:val="00DC641A"/>
    <w:rsid w:val="00DD21A1"/>
    <w:rsid w:val="00DD68FB"/>
    <w:rsid w:val="00DD6B7D"/>
    <w:rsid w:val="00DD6E14"/>
    <w:rsid w:val="00DE15AC"/>
    <w:rsid w:val="00DE5542"/>
    <w:rsid w:val="00DF2015"/>
    <w:rsid w:val="00DF4DAA"/>
    <w:rsid w:val="00E061EC"/>
    <w:rsid w:val="00E0696B"/>
    <w:rsid w:val="00E10E81"/>
    <w:rsid w:val="00E13E51"/>
    <w:rsid w:val="00E21F56"/>
    <w:rsid w:val="00E24E9B"/>
    <w:rsid w:val="00E3014F"/>
    <w:rsid w:val="00E41E95"/>
    <w:rsid w:val="00E4286E"/>
    <w:rsid w:val="00E43EAD"/>
    <w:rsid w:val="00E44FCA"/>
    <w:rsid w:val="00E45481"/>
    <w:rsid w:val="00E53B78"/>
    <w:rsid w:val="00E62BFE"/>
    <w:rsid w:val="00E62DCB"/>
    <w:rsid w:val="00E651DD"/>
    <w:rsid w:val="00E66558"/>
    <w:rsid w:val="00E70D81"/>
    <w:rsid w:val="00E726A6"/>
    <w:rsid w:val="00E73418"/>
    <w:rsid w:val="00E8109E"/>
    <w:rsid w:val="00E85C23"/>
    <w:rsid w:val="00E86F05"/>
    <w:rsid w:val="00EA2BCC"/>
    <w:rsid w:val="00EA3A2A"/>
    <w:rsid w:val="00EA3F11"/>
    <w:rsid w:val="00EA6B46"/>
    <w:rsid w:val="00EB0BE0"/>
    <w:rsid w:val="00EB3C15"/>
    <w:rsid w:val="00EB4556"/>
    <w:rsid w:val="00EB4A11"/>
    <w:rsid w:val="00EB64C8"/>
    <w:rsid w:val="00EC3D09"/>
    <w:rsid w:val="00ED4136"/>
    <w:rsid w:val="00ED5108"/>
    <w:rsid w:val="00ED6AE8"/>
    <w:rsid w:val="00ED711A"/>
    <w:rsid w:val="00EE291B"/>
    <w:rsid w:val="00EE2CB2"/>
    <w:rsid w:val="00EF485B"/>
    <w:rsid w:val="00EF5A6B"/>
    <w:rsid w:val="00F012CA"/>
    <w:rsid w:val="00F01752"/>
    <w:rsid w:val="00F017D2"/>
    <w:rsid w:val="00F01A55"/>
    <w:rsid w:val="00F0355A"/>
    <w:rsid w:val="00F05C44"/>
    <w:rsid w:val="00F15753"/>
    <w:rsid w:val="00F21F92"/>
    <w:rsid w:val="00F24A7E"/>
    <w:rsid w:val="00F32ABA"/>
    <w:rsid w:val="00F33DC0"/>
    <w:rsid w:val="00F33F28"/>
    <w:rsid w:val="00F35A40"/>
    <w:rsid w:val="00F35FDE"/>
    <w:rsid w:val="00F406CD"/>
    <w:rsid w:val="00F40DE1"/>
    <w:rsid w:val="00F4142A"/>
    <w:rsid w:val="00F47628"/>
    <w:rsid w:val="00F54FCB"/>
    <w:rsid w:val="00F6155E"/>
    <w:rsid w:val="00F62587"/>
    <w:rsid w:val="00F631A6"/>
    <w:rsid w:val="00F632A2"/>
    <w:rsid w:val="00F63E9E"/>
    <w:rsid w:val="00F63FEA"/>
    <w:rsid w:val="00F66AA7"/>
    <w:rsid w:val="00F75603"/>
    <w:rsid w:val="00F76843"/>
    <w:rsid w:val="00F776E1"/>
    <w:rsid w:val="00F77E8D"/>
    <w:rsid w:val="00F8053C"/>
    <w:rsid w:val="00F85DE7"/>
    <w:rsid w:val="00F90302"/>
    <w:rsid w:val="00F925EB"/>
    <w:rsid w:val="00F97033"/>
    <w:rsid w:val="00FA6DD0"/>
    <w:rsid w:val="00FC28DF"/>
    <w:rsid w:val="00FC5023"/>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paragraph" w:styleId="NormalWeb">
    <w:name w:val="Normal (Web)"/>
    <w:basedOn w:val="Normal"/>
    <w:uiPriority w:val="99"/>
    <w:semiHidden/>
    <w:unhideWhenUsed/>
    <w:rsid w:val="00432CD4"/>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1522">
      <w:bodyDiv w:val="1"/>
      <w:marLeft w:val="0"/>
      <w:marRight w:val="0"/>
      <w:marTop w:val="0"/>
      <w:marBottom w:val="0"/>
      <w:divBdr>
        <w:top w:val="none" w:sz="0" w:space="0" w:color="auto"/>
        <w:left w:val="none" w:sz="0" w:space="0" w:color="auto"/>
        <w:bottom w:val="none" w:sz="0" w:space="0" w:color="auto"/>
        <w:right w:val="none" w:sz="0" w:space="0" w:color="auto"/>
      </w:divBdr>
      <w:divsChild>
        <w:div w:id="1106653566">
          <w:marLeft w:val="0"/>
          <w:marRight w:val="0"/>
          <w:marTop w:val="0"/>
          <w:marBottom w:val="0"/>
          <w:divBdr>
            <w:top w:val="none" w:sz="0" w:space="0" w:color="auto"/>
            <w:left w:val="none" w:sz="0" w:space="0" w:color="auto"/>
            <w:bottom w:val="none" w:sz="0" w:space="0" w:color="auto"/>
            <w:right w:val="none" w:sz="0" w:space="0" w:color="auto"/>
          </w:divBdr>
        </w:div>
        <w:div w:id="1140154034">
          <w:marLeft w:val="0"/>
          <w:marRight w:val="0"/>
          <w:marTop w:val="0"/>
          <w:marBottom w:val="0"/>
          <w:divBdr>
            <w:top w:val="none" w:sz="0" w:space="0" w:color="auto"/>
            <w:left w:val="none" w:sz="0" w:space="0" w:color="auto"/>
            <w:bottom w:val="none" w:sz="0" w:space="0" w:color="auto"/>
            <w:right w:val="none" w:sz="0" w:space="0" w:color="auto"/>
          </w:divBdr>
        </w:div>
      </w:divsChild>
    </w:div>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45185801">
      <w:bodyDiv w:val="1"/>
      <w:marLeft w:val="0"/>
      <w:marRight w:val="0"/>
      <w:marTop w:val="0"/>
      <w:marBottom w:val="0"/>
      <w:divBdr>
        <w:top w:val="none" w:sz="0" w:space="0" w:color="auto"/>
        <w:left w:val="none" w:sz="0" w:space="0" w:color="auto"/>
        <w:bottom w:val="none" w:sz="0" w:space="0" w:color="auto"/>
        <w:right w:val="none" w:sz="0" w:space="0" w:color="auto"/>
      </w:divBdr>
      <w:divsChild>
        <w:div w:id="1902017091">
          <w:marLeft w:val="0"/>
          <w:marRight w:val="0"/>
          <w:marTop w:val="0"/>
          <w:marBottom w:val="0"/>
          <w:divBdr>
            <w:top w:val="none" w:sz="0" w:space="0" w:color="auto"/>
            <w:left w:val="none" w:sz="0" w:space="0" w:color="auto"/>
            <w:bottom w:val="none" w:sz="0" w:space="0" w:color="auto"/>
            <w:right w:val="none" w:sz="0" w:space="0" w:color="auto"/>
          </w:divBdr>
        </w:div>
      </w:divsChild>
    </w:div>
    <w:div w:id="97720892">
      <w:bodyDiv w:val="1"/>
      <w:marLeft w:val="0"/>
      <w:marRight w:val="0"/>
      <w:marTop w:val="0"/>
      <w:marBottom w:val="0"/>
      <w:divBdr>
        <w:top w:val="none" w:sz="0" w:space="0" w:color="auto"/>
        <w:left w:val="none" w:sz="0" w:space="0" w:color="auto"/>
        <w:bottom w:val="none" w:sz="0" w:space="0" w:color="auto"/>
        <w:right w:val="none" w:sz="0" w:space="0" w:color="auto"/>
      </w:divBdr>
      <w:divsChild>
        <w:div w:id="766997425">
          <w:marLeft w:val="0"/>
          <w:marRight w:val="0"/>
          <w:marTop w:val="0"/>
          <w:marBottom w:val="0"/>
          <w:divBdr>
            <w:top w:val="none" w:sz="0" w:space="0" w:color="auto"/>
            <w:left w:val="none" w:sz="0" w:space="0" w:color="auto"/>
            <w:bottom w:val="none" w:sz="0" w:space="0" w:color="auto"/>
            <w:right w:val="none" w:sz="0" w:space="0" w:color="auto"/>
          </w:divBdr>
        </w:div>
      </w:divsChild>
    </w:div>
    <w:div w:id="114107168">
      <w:bodyDiv w:val="1"/>
      <w:marLeft w:val="0"/>
      <w:marRight w:val="0"/>
      <w:marTop w:val="0"/>
      <w:marBottom w:val="0"/>
      <w:divBdr>
        <w:top w:val="none" w:sz="0" w:space="0" w:color="auto"/>
        <w:left w:val="none" w:sz="0" w:space="0" w:color="auto"/>
        <w:bottom w:val="none" w:sz="0" w:space="0" w:color="auto"/>
        <w:right w:val="none" w:sz="0" w:space="0" w:color="auto"/>
      </w:divBdr>
      <w:divsChild>
        <w:div w:id="1770929376">
          <w:marLeft w:val="0"/>
          <w:marRight w:val="0"/>
          <w:marTop w:val="0"/>
          <w:marBottom w:val="0"/>
          <w:divBdr>
            <w:top w:val="none" w:sz="0" w:space="0" w:color="auto"/>
            <w:left w:val="none" w:sz="0" w:space="0" w:color="auto"/>
            <w:bottom w:val="none" w:sz="0" w:space="0" w:color="auto"/>
            <w:right w:val="none" w:sz="0" w:space="0" w:color="auto"/>
          </w:divBdr>
        </w:div>
      </w:divsChild>
    </w:div>
    <w:div w:id="128674399">
      <w:bodyDiv w:val="1"/>
      <w:marLeft w:val="0"/>
      <w:marRight w:val="0"/>
      <w:marTop w:val="0"/>
      <w:marBottom w:val="0"/>
      <w:divBdr>
        <w:top w:val="none" w:sz="0" w:space="0" w:color="auto"/>
        <w:left w:val="none" w:sz="0" w:space="0" w:color="auto"/>
        <w:bottom w:val="none" w:sz="0" w:space="0" w:color="auto"/>
        <w:right w:val="none" w:sz="0" w:space="0" w:color="auto"/>
      </w:divBdr>
      <w:divsChild>
        <w:div w:id="790129011">
          <w:marLeft w:val="0"/>
          <w:marRight w:val="0"/>
          <w:marTop w:val="0"/>
          <w:marBottom w:val="0"/>
          <w:divBdr>
            <w:top w:val="none" w:sz="0" w:space="0" w:color="auto"/>
            <w:left w:val="none" w:sz="0" w:space="0" w:color="auto"/>
            <w:bottom w:val="none" w:sz="0" w:space="0" w:color="auto"/>
            <w:right w:val="none" w:sz="0" w:space="0" w:color="auto"/>
          </w:divBdr>
        </w:div>
      </w:divsChild>
    </w:div>
    <w:div w:id="164324354">
      <w:bodyDiv w:val="1"/>
      <w:marLeft w:val="0"/>
      <w:marRight w:val="0"/>
      <w:marTop w:val="0"/>
      <w:marBottom w:val="0"/>
      <w:divBdr>
        <w:top w:val="none" w:sz="0" w:space="0" w:color="auto"/>
        <w:left w:val="none" w:sz="0" w:space="0" w:color="auto"/>
        <w:bottom w:val="none" w:sz="0" w:space="0" w:color="auto"/>
        <w:right w:val="none" w:sz="0" w:space="0" w:color="auto"/>
      </w:divBdr>
      <w:divsChild>
        <w:div w:id="837034580">
          <w:marLeft w:val="0"/>
          <w:marRight w:val="0"/>
          <w:marTop w:val="0"/>
          <w:marBottom w:val="0"/>
          <w:divBdr>
            <w:top w:val="none" w:sz="0" w:space="0" w:color="auto"/>
            <w:left w:val="none" w:sz="0" w:space="0" w:color="auto"/>
            <w:bottom w:val="none" w:sz="0" w:space="0" w:color="auto"/>
            <w:right w:val="none" w:sz="0" w:space="0" w:color="auto"/>
          </w:divBdr>
        </w:div>
      </w:divsChild>
    </w:div>
    <w:div w:id="177695425">
      <w:bodyDiv w:val="1"/>
      <w:marLeft w:val="0"/>
      <w:marRight w:val="0"/>
      <w:marTop w:val="0"/>
      <w:marBottom w:val="0"/>
      <w:divBdr>
        <w:top w:val="none" w:sz="0" w:space="0" w:color="auto"/>
        <w:left w:val="none" w:sz="0" w:space="0" w:color="auto"/>
        <w:bottom w:val="none" w:sz="0" w:space="0" w:color="auto"/>
        <w:right w:val="none" w:sz="0" w:space="0" w:color="auto"/>
      </w:divBdr>
      <w:divsChild>
        <w:div w:id="159780121">
          <w:marLeft w:val="0"/>
          <w:marRight w:val="0"/>
          <w:marTop w:val="0"/>
          <w:marBottom w:val="0"/>
          <w:divBdr>
            <w:top w:val="none" w:sz="0" w:space="0" w:color="auto"/>
            <w:left w:val="none" w:sz="0" w:space="0" w:color="auto"/>
            <w:bottom w:val="none" w:sz="0" w:space="0" w:color="auto"/>
            <w:right w:val="none" w:sz="0" w:space="0" w:color="auto"/>
          </w:divBdr>
        </w:div>
        <w:div w:id="1183469660">
          <w:marLeft w:val="0"/>
          <w:marRight w:val="0"/>
          <w:marTop w:val="0"/>
          <w:marBottom w:val="0"/>
          <w:divBdr>
            <w:top w:val="none" w:sz="0" w:space="0" w:color="auto"/>
            <w:left w:val="none" w:sz="0" w:space="0" w:color="auto"/>
            <w:bottom w:val="none" w:sz="0" w:space="0" w:color="auto"/>
            <w:right w:val="none" w:sz="0" w:space="0" w:color="auto"/>
          </w:divBdr>
        </w:div>
        <w:div w:id="2000571102">
          <w:marLeft w:val="0"/>
          <w:marRight w:val="0"/>
          <w:marTop w:val="0"/>
          <w:marBottom w:val="0"/>
          <w:divBdr>
            <w:top w:val="none" w:sz="0" w:space="0" w:color="auto"/>
            <w:left w:val="none" w:sz="0" w:space="0" w:color="auto"/>
            <w:bottom w:val="none" w:sz="0" w:space="0" w:color="auto"/>
            <w:right w:val="none" w:sz="0" w:space="0" w:color="auto"/>
          </w:divBdr>
        </w:div>
        <w:div w:id="1264263772">
          <w:marLeft w:val="0"/>
          <w:marRight w:val="0"/>
          <w:marTop w:val="0"/>
          <w:marBottom w:val="0"/>
          <w:divBdr>
            <w:top w:val="none" w:sz="0" w:space="0" w:color="auto"/>
            <w:left w:val="none" w:sz="0" w:space="0" w:color="auto"/>
            <w:bottom w:val="none" w:sz="0" w:space="0" w:color="auto"/>
            <w:right w:val="none" w:sz="0" w:space="0" w:color="auto"/>
          </w:divBdr>
        </w:div>
        <w:div w:id="2052613537">
          <w:marLeft w:val="0"/>
          <w:marRight w:val="0"/>
          <w:marTop w:val="0"/>
          <w:marBottom w:val="0"/>
          <w:divBdr>
            <w:top w:val="none" w:sz="0" w:space="0" w:color="auto"/>
            <w:left w:val="none" w:sz="0" w:space="0" w:color="auto"/>
            <w:bottom w:val="none" w:sz="0" w:space="0" w:color="auto"/>
            <w:right w:val="none" w:sz="0" w:space="0" w:color="auto"/>
          </w:divBdr>
        </w:div>
      </w:divsChild>
    </w:div>
    <w:div w:id="266080515">
      <w:bodyDiv w:val="1"/>
      <w:marLeft w:val="0"/>
      <w:marRight w:val="0"/>
      <w:marTop w:val="0"/>
      <w:marBottom w:val="0"/>
      <w:divBdr>
        <w:top w:val="none" w:sz="0" w:space="0" w:color="auto"/>
        <w:left w:val="none" w:sz="0" w:space="0" w:color="auto"/>
        <w:bottom w:val="none" w:sz="0" w:space="0" w:color="auto"/>
        <w:right w:val="none" w:sz="0" w:space="0" w:color="auto"/>
      </w:divBdr>
      <w:divsChild>
        <w:div w:id="2127890459">
          <w:marLeft w:val="0"/>
          <w:marRight w:val="0"/>
          <w:marTop w:val="0"/>
          <w:marBottom w:val="0"/>
          <w:divBdr>
            <w:top w:val="none" w:sz="0" w:space="0" w:color="auto"/>
            <w:left w:val="none" w:sz="0" w:space="0" w:color="auto"/>
            <w:bottom w:val="none" w:sz="0" w:space="0" w:color="auto"/>
            <w:right w:val="none" w:sz="0" w:space="0" w:color="auto"/>
          </w:divBdr>
        </w:div>
      </w:divsChild>
    </w:div>
    <w:div w:id="271326001">
      <w:bodyDiv w:val="1"/>
      <w:marLeft w:val="0"/>
      <w:marRight w:val="0"/>
      <w:marTop w:val="0"/>
      <w:marBottom w:val="0"/>
      <w:divBdr>
        <w:top w:val="none" w:sz="0" w:space="0" w:color="auto"/>
        <w:left w:val="none" w:sz="0" w:space="0" w:color="auto"/>
        <w:bottom w:val="none" w:sz="0" w:space="0" w:color="auto"/>
        <w:right w:val="none" w:sz="0" w:space="0" w:color="auto"/>
      </w:divBdr>
      <w:divsChild>
        <w:div w:id="1177695583">
          <w:marLeft w:val="0"/>
          <w:marRight w:val="0"/>
          <w:marTop w:val="0"/>
          <w:marBottom w:val="0"/>
          <w:divBdr>
            <w:top w:val="none" w:sz="0" w:space="0" w:color="auto"/>
            <w:left w:val="none" w:sz="0" w:space="0" w:color="auto"/>
            <w:bottom w:val="none" w:sz="0" w:space="0" w:color="auto"/>
            <w:right w:val="none" w:sz="0" w:space="0" w:color="auto"/>
          </w:divBdr>
        </w:div>
      </w:divsChild>
    </w:div>
    <w:div w:id="348263404">
      <w:bodyDiv w:val="1"/>
      <w:marLeft w:val="0"/>
      <w:marRight w:val="0"/>
      <w:marTop w:val="0"/>
      <w:marBottom w:val="0"/>
      <w:divBdr>
        <w:top w:val="none" w:sz="0" w:space="0" w:color="auto"/>
        <w:left w:val="none" w:sz="0" w:space="0" w:color="auto"/>
        <w:bottom w:val="none" w:sz="0" w:space="0" w:color="auto"/>
        <w:right w:val="none" w:sz="0" w:space="0" w:color="auto"/>
      </w:divBdr>
      <w:divsChild>
        <w:div w:id="771049914">
          <w:marLeft w:val="0"/>
          <w:marRight w:val="0"/>
          <w:marTop w:val="0"/>
          <w:marBottom w:val="0"/>
          <w:divBdr>
            <w:top w:val="none" w:sz="0" w:space="0" w:color="auto"/>
            <w:left w:val="none" w:sz="0" w:space="0" w:color="auto"/>
            <w:bottom w:val="none" w:sz="0" w:space="0" w:color="auto"/>
            <w:right w:val="none" w:sz="0" w:space="0" w:color="auto"/>
          </w:divBdr>
        </w:div>
      </w:divsChild>
    </w:div>
    <w:div w:id="383911644">
      <w:bodyDiv w:val="1"/>
      <w:marLeft w:val="0"/>
      <w:marRight w:val="0"/>
      <w:marTop w:val="0"/>
      <w:marBottom w:val="0"/>
      <w:divBdr>
        <w:top w:val="none" w:sz="0" w:space="0" w:color="auto"/>
        <w:left w:val="none" w:sz="0" w:space="0" w:color="auto"/>
        <w:bottom w:val="none" w:sz="0" w:space="0" w:color="auto"/>
        <w:right w:val="none" w:sz="0" w:space="0" w:color="auto"/>
      </w:divBdr>
      <w:divsChild>
        <w:div w:id="2110852646">
          <w:marLeft w:val="0"/>
          <w:marRight w:val="0"/>
          <w:marTop w:val="0"/>
          <w:marBottom w:val="0"/>
          <w:divBdr>
            <w:top w:val="none" w:sz="0" w:space="0" w:color="auto"/>
            <w:left w:val="none" w:sz="0" w:space="0" w:color="auto"/>
            <w:bottom w:val="none" w:sz="0" w:space="0" w:color="auto"/>
            <w:right w:val="none" w:sz="0" w:space="0" w:color="auto"/>
          </w:divBdr>
        </w:div>
        <w:div w:id="2018536047">
          <w:marLeft w:val="0"/>
          <w:marRight w:val="0"/>
          <w:marTop w:val="0"/>
          <w:marBottom w:val="0"/>
          <w:divBdr>
            <w:top w:val="none" w:sz="0" w:space="0" w:color="auto"/>
            <w:left w:val="none" w:sz="0" w:space="0" w:color="auto"/>
            <w:bottom w:val="none" w:sz="0" w:space="0" w:color="auto"/>
            <w:right w:val="none" w:sz="0" w:space="0" w:color="auto"/>
          </w:divBdr>
        </w:div>
        <w:div w:id="552817539">
          <w:marLeft w:val="0"/>
          <w:marRight w:val="0"/>
          <w:marTop w:val="0"/>
          <w:marBottom w:val="0"/>
          <w:divBdr>
            <w:top w:val="none" w:sz="0" w:space="0" w:color="auto"/>
            <w:left w:val="none" w:sz="0" w:space="0" w:color="auto"/>
            <w:bottom w:val="none" w:sz="0" w:space="0" w:color="auto"/>
            <w:right w:val="none" w:sz="0" w:space="0" w:color="auto"/>
          </w:divBdr>
        </w:div>
        <w:div w:id="1152256409">
          <w:marLeft w:val="0"/>
          <w:marRight w:val="0"/>
          <w:marTop w:val="0"/>
          <w:marBottom w:val="0"/>
          <w:divBdr>
            <w:top w:val="none" w:sz="0" w:space="0" w:color="auto"/>
            <w:left w:val="none" w:sz="0" w:space="0" w:color="auto"/>
            <w:bottom w:val="none" w:sz="0" w:space="0" w:color="auto"/>
            <w:right w:val="none" w:sz="0" w:space="0" w:color="auto"/>
          </w:divBdr>
        </w:div>
        <w:div w:id="612982221">
          <w:marLeft w:val="0"/>
          <w:marRight w:val="0"/>
          <w:marTop w:val="0"/>
          <w:marBottom w:val="0"/>
          <w:divBdr>
            <w:top w:val="none" w:sz="0" w:space="0" w:color="auto"/>
            <w:left w:val="none" w:sz="0" w:space="0" w:color="auto"/>
            <w:bottom w:val="none" w:sz="0" w:space="0" w:color="auto"/>
            <w:right w:val="none" w:sz="0" w:space="0" w:color="auto"/>
          </w:divBdr>
        </w:div>
      </w:divsChild>
    </w:div>
    <w:div w:id="384724550">
      <w:bodyDiv w:val="1"/>
      <w:marLeft w:val="0"/>
      <w:marRight w:val="0"/>
      <w:marTop w:val="0"/>
      <w:marBottom w:val="0"/>
      <w:divBdr>
        <w:top w:val="none" w:sz="0" w:space="0" w:color="auto"/>
        <w:left w:val="none" w:sz="0" w:space="0" w:color="auto"/>
        <w:bottom w:val="none" w:sz="0" w:space="0" w:color="auto"/>
        <w:right w:val="none" w:sz="0" w:space="0" w:color="auto"/>
      </w:divBdr>
      <w:divsChild>
        <w:div w:id="1292787262">
          <w:marLeft w:val="0"/>
          <w:marRight w:val="0"/>
          <w:marTop w:val="0"/>
          <w:marBottom w:val="0"/>
          <w:divBdr>
            <w:top w:val="none" w:sz="0" w:space="0" w:color="auto"/>
            <w:left w:val="none" w:sz="0" w:space="0" w:color="auto"/>
            <w:bottom w:val="none" w:sz="0" w:space="0" w:color="auto"/>
            <w:right w:val="none" w:sz="0" w:space="0" w:color="auto"/>
          </w:divBdr>
        </w:div>
      </w:divsChild>
    </w:div>
    <w:div w:id="469636552">
      <w:bodyDiv w:val="1"/>
      <w:marLeft w:val="0"/>
      <w:marRight w:val="0"/>
      <w:marTop w:val="0"/>
      <w:marBottom w:val="0"/>
      <w:divBdr>
        <w:top w:val="none" w:sz="0" w:space="0" w:color="auto"/>
        <w:left w:val="none" w:sz="0" w:space="0" w:color="auto"/>
        <w:bottom w:val="none" w:sz="0" w:space="0" w:color="auto"/>
        <w:right w:val="none" w:sz="0" w:space="0" w:color="auto"/>
      </w:divBdr>
      <w:divsChild>
        <w:div w:id="826289619">
          <w:marLeft w:val="0"/>
          <w:marRight w:val="0"/>
          <w:marTop w:val="0"/>
          <w:marBottom w:val="0"/>
          <w:divBdr>
            <w:top w:val="none" w:sz="0" w:space="0" w:color="auto"/>
            <w:left w:val="none" w:sz="0" w:space="0" w:color="auto"/>
            <w:bottom w:val="none" w:sz="0" w:space="0" w:color="auto"/>
            <w:right w:val="none" w:sz="0" w:space="0" w:color="auto"/>
          </w:divBdr>
        </w:div>
      </w:divsChild>
    </w:div>
    <w:div w:id="495458295">
      <w:bodyDiv w:val="1"/>
      <w:marLeft w:val="0"/>
      <w:marRight w:val="0"/>
      <w:marTop w:val="0"/>
      <w:marBottom w:val="0"/>
      <w:divBdr>
        <w:top w:val="none" w:sz="0" w:space="0" w:color="auto"/>
        <w:left w:val="none" w:sz="0" w:space="0" w:color="auto"/>
        <w:bottom w:val="none" w:sz="0" w:space="0" w:color="auto"/>
        <w:right w:val="none" w:sz="0" w:space="0" w:color="auto"/>
      </w:divBdr>
      <w:divsChild>
        <w:div w:id="2141217216">
          <w:marLeft w:val="0"/>
          <w:marRight w:val="0"/>
          <w:marTop w:val="0"/>
          <w:marBottom w:val="0"/>
          <w:divBdr>
            <w:top w:val="none" w:sz="0" w:space="0" w:color="auto"/>
            <w:left w:val="none" w:sz="0" w:space="0" w:color="auto"/>
            <w:bottom w:val="none" w:sz="0" w:space="0" w:color="auto"/>
            <w:right w:val="none" w:sz="0" w:space="0" w:color="auto"/>
          </w:divBdr>
        </w:div>
      </w:divsChild>
    </w:div>
    <w:div w:id="521937896">
      <w:bodyDiv w:val="1"/>
      <w:marLeft w:val="0"/>
      <w:marRight w:val="0"/>
      <w:marTop w:val="0"/>
      <w:marBottom w:val="0"/>
      <w:divBdr>
        <w:top w:val="none" w:sz="0" w:space="0" w:color="auto"/>
        <w:left w:val="none" w:sz="0" w:space="0" w:color="auto"/>
        <w:bottom w:val="none" w:sz="0" w:space="0" w:color="auto"/>
        <w:right w:val="none" w:sz="0" w:space="0" w:color="auto"/>
      </w:divBdr>
      <w:divsChild>
        <w:div w:id="1343973614">
          <w:marLeft w:val="0"/>
          <w:marRight w:val="0"/>
          <w:marTop w:val="0"/>
          <w:marBottom w:val="0"/>
          <w:divBdr>
            <w:top w:val="none" w:sz="0" w:space="0" w:color="auto"/>
            <w:left w:val="none" w:sz="0" w:space="0" w:color="auto"/>
            <w:bottom w:val="none" w:sz="0" w:space="0" w:color="auto"/>
            <w:right w:val="none" w:sz="0" w:space="0" w:color="auto"/>
          </w:divBdr>
        </w:div>
      </w:divsChild>
    </w:div>
    <w:div w:id="549001490">
      <w:bodyDiv w:val="1"/>
      <w:marLeft w:val="0"/>
      <w:marRight w:val="0"/>
      <w:marTop w:val="0"/>
      <w:marBottom w:val="0"/>
      <w:divBdr>
        <w:top w:val="none" w:sz="0" w:space="0" w:color="auto"/>
        <w:left w:val="none" w:sz="0" w:space="0" w:color="auto"/>
        <w:bottom w:val="none" w:sz="0" w:space="0" w:color="auto"/>
        <w:right w:val="none" w:sz="0" w:space="0" w:color="auto"/>
      </w:divBdr>
      <w:divsChild>
        <w:div w:id="909922988">
          <w:marLeft w:val="0"/>
          <w:marRight w:val="0"/>
          <w:marTop w:val="0"/>
          <w:marBottom w:val="0"/>
          <w:divBdr>
            <w:top w:val="none" w:sz="0" w:space="0" w:color="auto"/>
            <w:left w:val="none" w:sz="0" w:space="0" w:color="auto"/>
            <w:bottom w:val="none" w:sz="0" w:space="0" w:color="auto"/>
            <w:right w:val="none" w:sz="0" w:space="0" w:color="auto"/>
          </w:divBdr>
        </w:div>
      </w:divsChild>
    </w:div>
    <w:div w:id="549614679">
      <w:bodyDiv w:val="1"/>
      <w:marLeft w:val="0"/>
      <w:marRight w:val="0"/>
      <w:marTop w:val="0"/>
      <w:marBottom w:val="0"/>
      <w:divBdr>
        <w:top w:val="none" w:sz="0" w:space="0" w:color="auto"/>
        <w:left w:val="none" w:sz="0" w:space="0" w:color="auto"/>
        <w:bottom w:val="none" w:sz="0" w:space="0" w:color="auto"/>
        <w:right w:val="none" w:sz="0" w:space="0" w:color="auto"/>
      </w:divBdr>
      <w:divsChild>
        <w:div w:id="1651448184">
          <w:marLeft w:val="0"/>
          <w:marRight w:val="0"/>
          <w:marTop w:val="0"/>
          <w:marBottom w:val="0"/>
          <w:divBdr>
            <w:top w:val="none" w:sz="0" w:space="0" w:color="auto"/>
            <w:left w:val="none" w:sz="0" w:space="0" w:color="auto"/>
            <w:bottom w:val="none" w:sz="0" w:space="0" w:color="auto"/>
            <w:right w:val="none" w:sz="0" w:space="0" w:color="auto"/>
          </w:divBdr>
        </w:div>
      </w:divsChild>
    </w:div>
    <w:div w:id="563370815">
      <w:bodyDiv w:val="1"/>
      <w:marLeft w:val="0"/>
      <w:marRight w:val="0"/>
      <w:marTop w:val="0"/>
      <w:marBottom w:val="0"/>
      <w:divBdr>
        <w:top w:val="none" w:sz="0" w:space="0" w:color="auto"/>
        <w:left w:val="none" w:sz="0" w:space="0" w:color="auto"/>
        <w:bottom w:val="none" w:sz="0" w:space="0" w:color="auto"/>
        <w:right w:val="none" w:sz="0" w:space="0" w:color="auto"/>
      </w:divBdr>
      <w:divsChild>
        <w:div w:id="939724361">
          <w:marLeft w:val="0"/>
          <w:marRight w:val="0"/>
          <w:marTop w:val="0"/>
          <w:marBottom w:val="0"/>
          <w:divBdr>
            <w:top w:val="none" w:sz="0" w:space="0" w:color="auto"/>
            <w:left w:val="none" w:sz="0" w:space="0" w:color="auto"/>
            <w:bottom w:val="none" w:sz="0" w:space="0" w:color="auto"/>
            <w:right w:val="none" w:sz="0" w:space="0" w:color="auto"/>
          </w:divBdr>
        </w:div>
      </w:divsChild>
    </w:div>
    <w:div w:id="563830894">
      <w:bodyDiv w:val="1"/>
      <w:marLeft w:val="0"/>
      <w:marRight w:val="0"/>
      <w:marTop w:val="0"/>
      <w:marBottom w:val="0"/>
      <w:divBdr>
        <w:top w:val="none" w:sz="0" w:space="0" w:color="auto"/>
        <w:left w:val="none" w:sz="0" w:space="0" w:color="auto"/>
        <w:bottom w:val="none" w:sz="0" w:space="0" w:color="auto"/>
        <w:right w:val="none" w:sz="0" w:space="0" w:color="auto"/>
      </w:divBdr>
      <w:divsChild>
        <w:div w:id="913315092">
          <w:marLeft w:val="0"/>
          <w:marRight w:val="0"/>
          <w:marTop w:val="0"/>
          <w:marBottom w:val="0"/>
          <w:divBdr>
            <w:top w:val="none" w:sz="0" w:space="0" w:color="auto"/>
            <w:left w:val="none" w:sz="0" w:space="0" w:color="auto"/>
            <w:bottom w:val="none" w:sz="0" w:space="0" w:color="auto"/>
            <w:right w:val="none" w:sz="0" w:space="0" w:color="auto"/>
          </w:divBdr>
        </w:div>
      </w:divsChild>
    </w:div>
    <w:div w:id="687177479">
      <w:bodyDiv w:val="1"/>
      <w:marLeft w:val="0"/>
      <w:marRight w:val="0"/>
      <w:marTop w:val="0"/>
      <w:marBottom w:val="0"/>
      <w:divBdr>
        <w:top w:val="none" w:sz="0" w:space="0" w:color="auto"/>
        <w:left w:val="none" w:sz="0" w:space="0" w:color="auto"/>
        <w:bottom w:val="none" w:sz="0" w:space="0" w:color="auto"/>
        <w:right w:val="none" w:sz="0" w:space="0" w:color="auto"/>
      </w:divBdr>
      <w:divsChild>
        <w:div w:id="305356090">
          <w:marLeft w:val="0"/>
          <w:marRight w:val="0"/>
          <w:marTop w:val="0"/>
          <w:marBottom w:val="0"/>
          <w:divBdr>
            <w:top w:val="none" w:sz="0" w:space="0" w:color="auto"/>
            <w:left w:val="none" w:sz="0" w:space="0" w:color="auto"/>
            <w:bottom w:val="none" w:sz="0" w:space="0" w:color="auto"/>
            <w:right w:val="none" w:sz="0" w:space="0" w:color="auto"/>
          </w:divBdr>
        </w:div>
      </w:divsChild>
    </w:div>
    <w:div w:id="702948137">
      <w:bodyDiv w:val="1"/>
      <w:marLeft w:val="0"/>
      <w:marRight w:val="0"/>
      <w:marTop w:val="0"/>
      <w:marBottom w:val="0"/>
      <w:divBdr>
        <w:top w:val="none" w:sz="0" w:space="0" w:color="auto"/>
        <w:left w:val="none" w:sz="0" w:space="0" w:color="auto"/>
        <w:bottom w:val="none" w:sz="0" w:space="0" w:color="auto"/>
        <w:right w:val="none" w:sz="0" w:space="0" w:color="auto"/>
      </w:divBdr>
      <w:divsChild>
        <w:div w:id="2114472663">
          <w:marLeft w:val="0"/>
          <w:marRight w:val="0"/>
          <w:marTop w:val="0"/>
          <w:marBottom w:val="0"/>
          <w:divBdr>
            <w:top w:val="none" w:sz="0" w:space="0" w:color="auto"/>
            <w:left w:val="none" w:sz="0" w:space="0" w:color="auto"/>
            <w:bottom w:val="none" w:sz="0" w:space="0" w:color="auto"/>
            <w:right w:val="none" w:sz="0" w:space="0" w:color="auto"/>
          </w:divBdr>
        </w:div>
      </w:divsChild>
    </w:div>
    <w:div w:id="725028562">
      <w:bodyDiv w:val="1"/>
      <w:marLeft w:val="0"/>
      <w:marRight w:val="0"/>
      <w:marTop w:val="0"/>
      <w:marBottom w:val="0"/>
      <w:divBdr>
        <w:top w:val="none" w:sz="0" w:space="0" w:color="auto"/>
        <w:left w:val="none" w:sz="0" w:space="0" w:color="auto"/>
        <w:bottom w:val="none" w:sz="0" w:space="0" w:color="auto"/>
        <w:right w:val="none" w:sz="0" w:space="0" w:color="auto"/>
      </w:divBdr>
      <w:divsChild>
        <w:div w:id="605966293">
          <w:marLeft w:val="0"/>
          <w:marRight w:val="0"/>
          <w:marTop w:val="0"/>
          <w:marBottom w:val="0"/>
          <w:divBdr>
            <w:top w:val="none" w:sz="0" w:space="0" w:color="auto"/>
            <w:left w:val="none" w:sz="0" w:space="0" w:color="auto"/>
            <w:bottom w:val="none" w:sz="0" w:space="0" w:color="auto"/>
            <w:right w:val="none" w:sz="0" w:space="0" w:color="auto"/>
          </w:divBdr>
        </w:div>
      </w:divsChild>
    </w:div>
    <w:div w:id="812914821">
      <w:bodyDiv w:val="1"/>
      <w:marLeft w:val="0"/>
      <w:marRight w:val="0"/>
      <w:marTop w:val="0"/>
      <w:marBottom w:val="0"/>
      <w:divBdr>
        <w:top w:val="none" w:sz="0" w:space="0" w:color="auto"/>
        <w:left w:val="none" w:sz="0" w:space="0" w:color="auto"/>
        <w:bottom w:val="none" w:sz="0" w:space="0" w:color="auto"/>
        <w:right w:val="none" w:sz="0" w:space="0" w:color="auto"/>
      </w:divBdr>
      <w:divsChild>
        <w:div w:id="1132790058">
          <w:marLeft w:val="0"/>
          <w:marRight w:val="0"/>
          <w:marTop w:val="0"/>
          <w:marBottom w:val="0"/>
          <w:divBdr>
            <w:top w:val="none" w:sz="0" w:space="0" w:color="auto"/>
            <w:left w:val="none" w:sz="0" w:space="0" w:color="auto"/>
            <w:bottom w:val="none" w:sz="0" w:space="0" w:color="auto"/>
            <w:right w:val="none" w:sz="0" w:space="0" w:color="auto"/>
          </w:divBdr>
        </w:div>
      </w:divsChild>
    </w:div>
    <w:div w:id="822546542">
      <w:bodyDiv w:val="1"/>
      <w:marLeft w:val="0"/>
      <w:marRight w:val="0"/>
      <w:marTop w:val="0"/>
      <w:marBottom w:val="0"/>
      <w:divBdr>
        <w:top w:val="none" w:sz="0" w:space="0" w:color="auto"/>
        <w:left w:val="none" w:sz="0" w:space="0" w:color="auto"/>
        <w:bottom w:val="none" w:sz="0" w:space="0" w:color="auto"/>
        <w:right w:val="none" w:sz="0" w:space="0" w:color="auto"/>
      </w:divBdr>
      <w:divsChild>
        <w:div w:id="2071999280">
          <w:marLeft w:val="0"/>
          <w:marRight w:val="0"/>
          <w:marTop w:val="0"/>
          <w:marBottom w:val="0"/>
          <w:divBdr>
            <w:top w:val="none" w:sz="0" w:space="0" w:color="auto"/>
            <w:left w:val="none" w:sz="0" w:space="0" w:color="auto"/>
            <w:bottom w:val="none" w:sz="0" w:space="0" w:color="auto"/>
            <w:right w:val="none" w:sz="0" w:space="0" w:color="auto"/>
          </w:divBdr>
        </w:div>
        <w:div w:id="1278176842">
          <w:marLeft w:val="0"/>
          <w:marRight w:val="0"/>
          <w:marTop w:val="0"/>
          <w:marBottom w:val="0"/>
          <w:divBdr>
            <w:top w:val="none" w:sz="0" w:space="0" w:color="auto"/>
            <w:left w:val="none" w:sz="0" w:space="0" w:color="auto"/>
            <w:bottom w:val="none" w:sz="0" w:space="0" w:color="auto"/>
            <w:right w:val="none" w:sz="0" w:space="0" w:color="auto"/>
          </w:divBdr>
        </w:div>
      </w:divsChild>
    </w:div>
    <w:div w:id="872770505">
      <w:bodyDiv w:val="1"/>
      <w:marLeft w:val="0"/>
      <w:marRight w:val="0"/>
      <w:marTop w:val="0"/>
      <w:marBottom w:val="0"/>
      <w:divBdr>
        <w:top w:val="none" w:sz="0" w:space="0" w:color="auto"/>
        <w:left w:val="none" w:sz="0" w:space="0" w:color="auto"/>
        <w:bottom w:val="none" w:sz="0" w:space="0" w:color="auto"/>
        <w:right w:val="none" w:sz="0" w:space="0" w:color="auto"/>
      </w:divBdr>
      <w:divsChild>
        <w:div w:id="1038777901">
          <w:marLeft w:val="0"/>
          <w:marRight w:val="0"/>
          <w:marTop w:val="0"/>
          <w:marBottom w:val="0"/>
          <w:divBdr>
            <w:top w:val="none" w:sz="0" w:space="0" w:color="auto"/>
            <w:left w:val="none" w:sz="0" w:space="0" w:color="auto"/>
            <w:bottom w:val="none" w:sz="0" w:space="0" w:color="auto"/>
            <w:right w:val="none" w:sz="0" w:space="0" w:color="auto"/>
          </w:divBdr>
        </w:div>
      </w:divsChild>
    </w:div>
    <w:div w:id="896211224">
      <w:bodyDiv w:val="1"/>
      <w:marLeft w:val="0"/>
      <w:marRight w:val="0"/>
      <w:marTop w:val="0"/>
      <w:marBottom w:val="0"/>
      <w:divBdr>
        <w:top w:val="none" w:sz="0" w:space="0" w:color="auto"/>
        <w:left w:val="none" w:sz="0" w:space="0" w:color="auto"/>
        <w:bottom w:val="none" w:sz="0" w:space="0" w:color="auto"/>
        <w:right w:val="none" w:sz="0" w:space="0" w:color="auto"/>
      </w:divBdr>
      <w:divsChild>
        <w:div w:id="930312054">
          <w:marLeft w:val="0"/>
          <w:marRight w:val="0"/>
          <w:marTop w:val="0"/>
          <w:marBottom w:val="0"/>
          <w:divBdr>
            <w:top w:val="none" w:sz="0" w:space="0" w:color="auto"/>
            <w:left w:val="none" w:sz="0" w:space="0" w:color="auto"/>
            <w:bottom w:val="none" w:sz="0" w:space="0" w:color="auto"/>
            <w:right w:val="none" w:sz="0" w:space="0" w:color="auto"/>
          </w:divBdr>
        </w:div>
      </w:divsChild>
    </w:div>
    <w:div w:id="898201363">
      <w:bodyDiv w:val="1"/>
      <w:marLeft w:val="0"/>
      <w:marRight w:val="0"/>
      <w:marTop w:val="0"/>
      <w:marBottom w:val="0"/>
      <w:divBdr>
        <w:top w:val="none" w:sz="0" w:space="0" w:color="auto"/>
        <w:left w:val="none" w:sz="0" w:space="0" w:color="auto"/>
        <w:bottom w:val="none" w:sz="0" w:space="0" w:color="auto"/>
        <w:right w:val="none" w:sz="0" w:space="0" w:color="auto"/>
      </w:divBdr>
      <w:divsChild>
        <w:div w:id="1505705043">
          <w:marLeft w:val="0"/>
          <w:marRight w:val="0"/>
          <w:marTop w:val="0"/>
          <w:marBottom w:val="0"/>
          <w:divBdr>
            <w:top w:val="none" w:sz="0" w:space="0" w:color="auto"/>
            <w:left w:val="none" w:sz="0" w:space="0" w:color="auto"/>
            <w:bottom w:val="none" w:sz="0" w:space="0" w:color="auto"/>
            <w:right w:val="none" w:sz="0" w:space="0" w:color="auto"/>
          </w:divBdr>
        </w:div>
        <w:div w:id="1829898778">
          <w:marLeft w:val="0"/>
          <w:marRight w:val="0"/>
          <w:marTop w:val="0"/>
          <w:marBottom w:val="0"/>
          <w:divBdr>
            <w:top w:val="none" w:sz="0" w:space="0" w:color="auto"/>
            <w:left w:val="none" w:sz="0" w:space="0" w:color="auto"/>
            <w:bottom w:val="none" w:sz="0" w:space="0" w:color="auto"/>
            <w:right w:val="none" w:sz="0" w:space="0" w:color="auto"/>
          </w:divBdr>
        </w:div>
        <w:div w:id="2022315629">
          <w:marLeft w:val="0"/>
          <w:marRight w:val="0"/>
          <w:marTop w:val="0"/>
          <w:marBottom w:val="0"/>
          <w:divBdr>
            <w:top w:val="none" w:sz="0" w:space="0" w:color="auto"/>
            <w:left w:val="none" w:sz="0" w:space="0" w:color="auto"/>
            <w:bottom w:val="none" w:sz="0" w:space="0" w:color="auto"/>
            <w:right w:val="none" w:sz="0" w:space="0" w:color="auto"/>
          </w:divBdr>
        </w:div>
        <w:div w:id="1416708723">
          <w:marLeft w:val="0"/>
          <w:marRight w:val="0"/>
          <w:marTop w:val="0"/>
          <w:marBottom w:val="0"/>
          <w:divBdr>
            <w:top w:val="none" w:sz="0" w:space="0" w:color="auto"/>
            <w:left w:val="none" w:sz="0" w:space="0" w:color="auto"/>
            <w:bottom w:val="none" w:sz="0" w:space="0" w:color="auto"/>
            <w:right w:val="none" w:sz="0" w:space="0" w:color="auto"/>
          </w:divBdr>
        </w:div>
        <w:div w:id="2104759141">
          <w:marLeft w:val="0"/>
          <w:marRight w:val="0"/>
          <w:marTop w:val="0"/>
          <w:marBottom w:val="0"/>
          <w:divBdr>
            <w:top w:val="none" w:sz="0" w:space="0" w:color="auto"/>
            <w:left w:val="none" w:sz="0" w:space="0" w:color="auto"/>
            <w:bottom w:val="none" w:sz="0" w:space="0" w:color="auto"/>
            <w:right w:val="none" w:sz="0" w:space="0" w:color="auto"/>
          </w:divBdr>
        </w:div>
        <w:div w:id="1118913886">
          <w:marLeft w:val="0"/>
          <w:marRight w:val="0"/>
          <w:marTop w:val="0"/>
          <w:marBottom w:val="0"/>
          <w:divBdr>
            <w:top w:val="none" w:sz="0" w:space="0" w:color="auto"/>
            <w:left w:val="none" w:sz="0" w:space="0" w:color="auto"/>
            <w:bottom w:val="none" w:sz="0" w:space="0" w:color="auto"/>
            <w:right w:val="none" w:sz="0" w:space="0" w:color="auto"/>
          </w:divBdr>
        </w:div>
      </w:divsChild>
    </w:div>
    <w:div w:id="920482279">
      <w:bodyDiv w:val="1"/>
      <w:marLeft w:val="0"/>
      <w:marRight w:val="0"/>
      <w:marTop w:val="0"/>
      <w:marBottom w:val="0"/>
      <w:divBdr>
        <w:top w:val="none" w:sz="0" w:space="0" w:color="auto"/>
        <w:left w:val="none" w:sz="0" w:space="0" w:color="auto"/>
        <w:bottom w:val="none" w:sz="0" w:space="0" w:color="auto"/>
        <w:right w:val="none" w:sz="0" w:space="0" w:color="auto"/>
      </w:divBdr>
      <w:divsChild>
        <w:div w:id="2078894337">
          <w:marLeft w:val="0"/>
          <w:marRight w:val="0"/>
          <w:marTop w:val="0"/>
          <w:marBottom w:val="0"/>
          <w:divBdr>
            <w:top w:val="none" w:sz="0" w:space="0" w:color="auto"/>
            <w:left w:val="none" w:sz="0" w:space="0" w:color="auto"/>
            <w:bottom w:val="none" w:sz="0" w:space="0" w:color="auto"/>
            <w:right w:val="none" w:sz="0" w:space="0" w:color="auto"/>
          </w:divBdr>
        </w:div>
        <w:div w:id="17052316">
          <w:marLeft w:val="0"/>
          <w:marRight w:val="0"/>
          <w:marTop w:val="0"/>
          <w:marBottom w:val="0"/>
          <w:divBdr>
            <w:top w:val="none" w:sz="0" w:space="0" w:color="auto"/>
            <w:left w:val="none" w:sz="0" w:space="0" w:color="auto"/>
            <w:bottom w:val="none" w:sz="0" w:space="0" w:color="auto"/>
            <w:right w:val="none" w:sz="0" w:space="0" w:color="auto"/>
          </w:divBdr>
        </w:div>
        <w:div w:id="533345404">
          <w:marLeft w:val="0"/>
          <w:marRight w:val="0"/>
          <w:marTop w:val="0"/>
          <w:marBottom w:val="0"/>
          <w:divBdr>
            <w:top w:val="none" w:sz="0" w:space="0" w:color="auto"/>
            <w:left w:val="none" w:sz="0" w:space="0" w:color="auto"/>
            <w:bottom w:val="none" w:sz="0" w:space="0" w:color="auto"/>
            <w:right w:val="none" w:sz="0" w:space="0" w:color="auto"/>
          </w:divBdr>
        </w:div>
        <w:div w:id="16784254">
          <w:marLeft w:val="0"/>
          <w:marRight w:val="0"/>
          <w:marTop w:val="0"/>
          <w:marBottom w:val="0"/>
          <w:divBdr>
            <w:top w:val="none" w:sz="0" w:space="0" w:color="auto"/>
            <w:left w:val="none" w:sz="0" w:space="0" w:color="auto"/>
            <w:bottom w:val="none" w:sz="0" w:space="0" w:color="auto"/>
            <w:right w:val="none" w:sz="0" w:space="0" w:color="auto"/>
          </w:divBdr>
        </w:div>
        <w:div w:id="1434672206">
          <w:marLeft w:val="0"/>
          <w:marRight w:val="0"/>
          <w:marTop w:val="0"/>
          <w:marBottom w:val="0"/>
          <w:divBdr>
            <w:top w:val="none" w:sz="0" w:space="0" w:color="auto"/>
            <w:left w:val="none" w:sz="0" w:space="0" w:color="auto"/>
            <w:bottom w:val="none" w:sz="0" w:space="0" w:color="auto"/>
            <w:right w:val="none" w:sz="0" w:space="0" w:color="auto"/>
          </w:divBdr>
        </w:div>
        <w:div w:id="1801650714">
          <w:marLeft w:val="0"/>
          <w:marRight w:val="0"/>
          <w:marTop w:val="0"/>
          <w:marBottom w:val="0"/>
          <w:divBdr>
            <w:top w:val="none" w:sz="0" w:space="0" w:color="auto"/>
            <w:left w:val="none" w:sz="0" w:space="0" w:color="auto"/>
            <w:bottom w:val="none" w:sz="0" w:space="0" w:color="auto"/>
            <w:right w:val="none" w:sz="0" w:space="0" w:color="auto"/>
          </w:divBdr>
        </w:div>
        <w:div w:id="334845740">
          <w:marLeft w:val="0"/>
          <w:marRight w:val="0"/>
          <w:marTop w:val="0"/>
          <w:marBottom w:val="0"/>
          <w:divBdr>
            <w:top w:val="none" w:sz="0" w:space="0" w:color="auto"/>
            <w:left w:val="none" w:sz="0" w:space="0" w:color="auto"/>
            <w:bottom w:val="none" w:sz="0" w:space="0" w:color="auto"/>
            <w:right w:val="none" w:sz="0" w:space="0" w:color="auto"/>
          </w:divBdr>
        </w:div>
        <w:div w:id="2127503547">
          <w:marLeft w:val="0"/>
          <w:marRight w:val="0"/>
          <w:marTop w:val="0"/>
          <w:marBottom w:val="0"/>
          <w:divBdr>
            <w:top w:val="none" w:sz="0" w:space="0" w:color="auto"/>
            <w:left w:val="none" w:sz="0" w:space="0" w:color="auto"/>
            <w:bottom w:val="none" w:sz="0" w:space="0" w:color="auto"/>
            <w:right w:val="none" w:sz="0" w:space="0" w:color="auto"/>
          </w:divBdr>
        </w:div>
      </w:divsChild>
    </w:div>
    <w:div w:id="1083916363">
      <w:bodyDiv w:val="1"/>
      <w:marLeft w:val="0"/>
      <w:marRight w:val="0"/>
      <w:marTop w:val="0"/>
      <w:marBottom w:val="0"/>
      <w:divBdr>
        <w:top w:val="none" w:sz="0" w:space="0" w:color="auto"/>
        <w:left w:val="none" w:sz="0" w:space="0" w:color="auto"/>
        <w:bottom w:val="none" w:sz="0" w:space="0" w:color="auto"/>
        <w:right w:val="none" w:sz="0" w:space="0" w:color="auto"/>
      </w:divBdr>
      <w:divsChild>
        <w:div w:id="1763522676">
          <w:marLeft w:val="0"/>
          <w:marRight w:val="0"/>
          <w:marTop w:val="0"/>
          <w:marBottom w:val="0"/>
          <w:divBdr>
            <w:top w:val="none" w:sz="0" w:space="0" w:color="auto"/>
            <w:left w:val="none" w:sz="0" w:space="0" w:color="auto"/>
            <w:bottom w:val="none" w:sz="0" w:space="0" w:color="auto"/>
            <w:right w:val="none" w:sz="0" w:space="0" w:color="auto"/>
          </w:divBdr>
        </w:div>
      </w:divsChild>
    </w:div>
    <w:div w:id="1087772582">
      <w:bodyDiv w:val="1"/>
      <w:marLeft w:val="0"/>
      <w:marRight w:val="0"/>
      <w:marTop w:val="0"/>
      <w:marBottom w:val="0"/>
      <w:divBdr>
        <w:top w:val="none" w:sz="0" w:space="0" w:color="auto"/>
        <w:left w:val="none" w:sz="0" w:space="0" w:color="auto"/>
        <w:bottom w:val="none" w:sz="0" w:space="0" w:color="auto"/>
        <w:right w:val="none" w:sz="0" w:space="0" w:color="auto"/>
      </w:divBdr>
      <w:divsChild>
        <w:div w:id="1607538299">
          <w:marLeft w:val="0"/>
          <w:marRight w:val="0"/>
          <w:marTop w:val="0"/>
          <w:marBottom w:val="0"/>
          <w:divBdr>
            <w:top w:val="none" w:sz="0" w:space="0" w:color="auto"/>
            <w:left w:val="none" w:sz="0" w:space="0" w:color="auto"/>
            <w:bottom w:val="none" w:sz="0" w:space="0" w:color="auto"/>
            <w:right w:val="none" w:sz="0" w:space="0" w:color="auto"/>
          </w:divBdr>
        </w:div>
        <w:div w:id="1945261470">
          <w:marLeft w:val="0"/>
          <w:marRight w:val="0"/>
          <w:marTop w:val="0"/>
          <w:marBottom w:val="0"/>
          <w:divBdr>
            <w:top w:val="none" w:sz="0" w:space="0" w:color="auto"/>
            <w:left w:val="none" w:sz="0" w:space="0" w:color="auto"/>
            <w:bottom w:val="none" w:sz="0" w:space="0" w:color="auto"/>
            <w:right w:val="none" w:sz="0" w:space="0" w:color="auto"/>
          </w:divBdr>
        </w:div>
        <w:div w:id="927813118">
          <w:marLeft w:val="0"/>
          <w:marRight w:val="0"/>
          <w:marTop w:val="0"/>
          <w:marBottom w:val="0"/>
          <w:divBdr>
            <w:top w:val="none" w:sz="0" w:space="0" w:color="auto"/>
            <w:left w:val="none" w:sz="0" w:space="0" w:color="auto"/>
            <w:bottom w:val="none" w:sz="0" w:space="0" w:color="auto"/>
            <w:right w:val="none" w:sz="0" w:space="0" w:color="auto"/>
          </w:divBdr>
        </w:div>
        <w:div w:id="595284611">
          <w:marLeft w:val="0"/>
          <w:marRight w:val="0"/>
          <w:marTop w:val="0"/>
          <w:marBottom w:val="0"/>
          <w:divBdr>
            <w:top w:val="none" w:sz="0" w:space="0" w:color="auto"/>
            <w:left w:val="none" w:sz="0" w:space="0" w:color="auto"/>
            <w:bottom w:val="none" w:sz="0" w:space="0" w:color="auto"/>
            <w:right w:val="none" w:sz="0" w:space="0" w:color="auto"/>
          </w:divBdr>
        </w:div>
        <w:div w:id="1873688363">
          <w:marLeft w:val="0"/>
          <w:marRight w:val="0"/>
          <w:marTop w:val="0"/>
          <w:marBottom w:val="0"/>
          <w:divBdr>
            <w:top w:val="none" w:sz="0" w:space="0" w:color="auto"/>
            <w:left w:val="none" w:sz="0" w:space="0" w:color="auto"/>
            <w:bottom w:val="none" w:sz="0" w:space="0" w:color="auto"/>
            <w:right w:val="none" w:sz="0" w:space="0" w:color="auto"/>
          </w:divBdr>
        </w:div>
        <w:div w:id="861430652">
          <w:marLeft w:val="0"/>
          <w:marRight w:val="0"/>
          <w:marTop w:val="0"/>
          <w:marBottom w:val="0"/>
          <w:divBdr>
            <w:top w:val="none" w:sz="0" w:space="0" w:color="auto"/>
            <w:left w:val="none" w:sz="0" w:space="0" w:color="auto"/>
            <w:bottom w:val="none" w:sz="0" w:space="0" w:color="auto"/>
            <w:right w:val="none" w:sz="0" w:space="0" w:color="auto"/>
          </w:divBdr>
        </w:div>
        <w:div w:id="2015499042">
          <w:marLeft w:val="0"/>
          <w:marRight w:val="0"/>
          <w:marTop w:val="0"/>
          <w:marBottom w:val="0"/>
          <w:divBdr>
            <w:top w:val="none" w:sz="0" w:space="0" w:color="auto"/>
            <w:left w:val="none" w:sz="0" w:space="0" w:color="auto"/>
            <w:bottom w:val="none" w:sz="0" w:space="0" w:color="auto"/>
            <w:right w:val="none" w:sz="0" w:space="0" w:color="auto"/>
          </w:divBdr>
        </w:div>
        <w:div w:id="1426226690">
          <w:marLeft w:val="0"/>
          <w:marRight w:val="0"/>
          <w:marTop w:val="0"/>
          <w:marBottom w:val="0"/>
          <w:divBdr>
            <w:top w:val="none" w:sz="0" w:space="0" w:color="auto"/>
            <w:left w:val="none" w:sz="0" w:space="0" w:color="auto"/>
            <w:bottom w:val="none" w:sz="0" w:space="0" w:color="auto"/>
            <w:right w:val="none" w:sz="0" w:space="0" w:color="auto"/>
          </w:divBdr>
        </w:div>
      </w:divsChild>
    </w:div>
    <w:div w:id="1099525919">
      <w:bodyDiv w:val="1"/>
      <w:marLeft w:val="0"/>
      <w:marRight w:val="0"/>
      <w:marTop w:val="0"/>
      <w:marBottom w:val="0"/>
      <w:divBdr>
        <w:top w:val="none" w:sz="0" w:space="0" w:color="auto"/>
        <w:left w:val="none" w:sz="0" w:space="0" w:color="auto"/>
        <w:bottom w:val="none" w:sz="0" w:space="0" w:color="auto"/>
        <w:right w:val="none" w:sz="0" w:space="0" w:color="auto"/>
      </w:divBdr>
      <w:divsChild>
        <w:div w:id="1293900224">
          <w:marLeft w:val="0"/>
          <w:marRight w:val="0"/>
          <w:marTop w:val="0"/>
          <w:marBottom w:val="0"/>
          <w:divBdr>
            <w:top w:val="none" w:sz="0" w:space="0" w:color="auto"/>
            <w:left w:val="none" w:sz="0" w:space="0" w:color="auto"/>
            <w:bottom w:val="none" w:sz="0" w:space="0" w:color="auto"/>
            <w:right w:val="none" w:sz="0" w:space="0" w:color="auto"/>
          </w:divBdr>
        </w:div>
        <w:div w:id="1775906512">
          <w:marLeft w:val="0"/>
          <w:marRight w:val="0"/>
          <w:marTop w:val="0"/>
          <w:marBottom w:val="0"/>
          <w:divBdr>
            <w:top w:val="none" w:sz="0" w:space="0" w:color="auto"/>
            <w:left w:val="none" w:sz="0" w:space="0" w:color="auto"/>
            <w:bottom w:val="none" w:sz="0" w:space="0" w:color="auto"/>
            <w:right w:val="none" w:sz="0" w:space="0" w:color="auto"/>
          </w:divBdr>
        </w:div>
        <w:div w:id="1100297564">
          <w:marLeft w:val="0"/>
          <w:marRight w:val="0"/>
          <w:marTop w:val="0"/>
          <w:marBottom w:val="0"/>
          <w:divBdr>
            <w:top w:val="none" w:sz="0" w:space="0" w:color="auto"/>
            <w:left w:val="none" w:sz="0" w:space="0" w:color="auto"/>
            <w:bottom w:val="none" w:sz="0" w:space="0" w:color="auto"/>
            <w:right w:val="none" w:sz="0" w:space="0" w:color="auto"/>
          </w:divBdr>
        </w:div>
        <w:div w:id="254244277">
          <w:marLeft w:val="0"/>
          <w:marRight w:val="0"/>
          <w:marTop w:val="0"/>
          <w:marBottom w:val="0"/>
          <w:divBdr>
            <w:top w:val="none" w:sz="0" w:space="0" w:color="auto"/>
            <w:left w:val="none" w:sz="0" w:space="0" w:color="auto"/>
            <w:bottom w:val="none" w:sz="0" w:space="0" w:color="auto"/>
            <w:right w:val="none" w:sz="0" w:space="0" w:color="auto"/>
          </w:divBdr>
        </w:div>
        <w:div w:id="1675916668">
          <w:marLeft w:val="0"/>
          <w:marRight w:val="0"/>
          <w:marTop w:val="0"/>
          <w:marBottom w:val="0"/>
          <w:divBdr>
            <w:top w:val="none" w:sz="0" w:space="0" w:color="auto"/>
            <w:left w:val="none" w:sz="0" w:space="0" w:color="auto"/>
            <w:bottom w:val="none" w:sz="0" w:space="0" w:color="auto"/>
            <w:right w:val="none" w:sz="0" w:space="0" w:color="auto"/>
          </w:divBdr>
        </w:div>
        <w:div w:id="1235815350">
          <w:marLeft w:val="0"/>
          <w:marRight w:val="0"/>
          <w:marTop w:val="0"/>
          <w:marBottom w:val="0"/>
          <w:divBdr>
            <w:top w:val="none" w:sz="0" w:space="0" w:color="auto"/>
            <w:left w:val="none" w:sz="0" w:space="0" w:color="auto"/>
            <w:bottom w:val="none" w:sz="0" w:space="0" w:color="auto"/>
            <w:right w:val="none" w:sz="0" w:space="0" w:color="auto"/>
          </w:divBdr>
        </w:div>
      </w:divsChild>
    </w:div>
    <w:div w:id="1144664647">
      <w:bodyDiv w:val="1"/>
      <w:marLeft w:val="0"/>
      <w:marRight w:val="0"/>
      <w:marTop w:val="0"/>
      <w:marBottom w:val="0"/>
      <w:divBdr>
        <w:top w:val="none" w:sz="0" w:space="0" w:color="auto"/>
        <w:left w:val="none" w:sz="0" w:space="0" w:color="auto"/>
        <w:bottom w:val="none" w:sz="0" w:space="0" w:color="auto"/>
        <w:right w:val="none" w:sz="0" w:space="0" w:color="auto"/>
      </w:divBdr>
      <w:divsChild>
        <w:div w:id="2007197708">
          <w:marLeft w:val="0"/>
          <w:marRight w:val="0"/>
          <w:marTop w:val="0"/>
          <w:marBottom w:val="0"/>
          <w:divBdr>
            <w:top w:val="none" w:sz="0" w:space="0" w:color="auto"/>
            <w:left w:val="none" w:sz="0" w:space="0" w:color="auto"/>
            <w:bottom w:val="none" w:sz="0" w:space="0" w:color="auto"/>
            <w:right w:val="none" w:sz="0" w:space="0" w:color="auto"/>
          </w:divBdr>
        </w:div>
        <w:div w:id="1327628372">
          <w:marLeft w:val="0"/>
          <w:marRight w:val="0"/>
          <w:marTop w:val="0"/>
          <w:marBottom w:val="0"/>
          <w:divBdr>
            <w:top w:val="none" w:sz="0" w:space="0" w:color="auto"/>
            <w:left w:val="none" w:sz="0" w:space="0" w:color="auto"/>
            <w:bottom w:val="none" w:sz="0" w:space="0" w:color="auto"/>
            <w:right w:val="none" w:sz="0" w:space="0" w:color="auto"/>
          </w:divBdr>
        </w:div>
        <w:div w:id="1597789976">
          <w:marLeft w:val="0"/>
          <w:marRight w:val="0"/>
          <w:marTop w:val="0"/>
          <w:marBottom w:val="0"/>
          <w:divBdr>
            <w:top w:val="none" w:sz="0" w:space="0" w:color="auto"/>
            <w:left w:val="none" w:sz="0" w:space="0" w:color="auto"/>
            <w:bottom w:val="none" w:sz="0" w:space="0" w:color="auto"/>
            <w:right w:val="none" w:sz="0" w:space="0" w:color="auto"/>
          </w:divBdr>
        </w:div>
        <w:div w:id="1666085891">
          <w:marLeft w:val="0"/>
          <w:marRight w:val="0"/>
          <w:marTop w:val="0"/>
          <w:marBottom w:val="0"/>
          <w:divBdr>
            <w:top w:val="none" w:sz="0" w:space="0" w:color="auto"/>
            <w:left w:val="none" w:sz="0" w:space="0" w:color="auto"/>
            <w:bottom w:val="none" w:sz="0" w:space="0" w:color="auto"/>
            <w:right w:val="none" w:sz="0" w:space="0" w:color="auto"/>
          </w:divBdr>
        </w:div>
        <w:div w:id="1569850722">
          <w:marLeft w:val="0"/>
          <w:marRight w:val="0"/>
          <w:marTop w:val="0"/>
          <w:marBottom w:val="0"/>
          <w:divBdr>
            <w:top w:val="none" w:sz="0" w:space="0" w:color="auto"/>
            <w:left w:val="none" w:sz="0" w:space="0" w:color="auto"/>
            <w:bottom w:val="none" w:sz="0" w:space="0" w:color="auto"/>
            <w:right w:val="none" w:sz="0" w:space="0" w:color="auto"/>
          </w:divBdr>
        </w:div>
        <w:div w:id="664820941">
          <w:marLeft w:val="0"/>
          <w:marRight w:val="0"/>
          <w:marTop w:val="0"/>
          <w:marBottom w:val="0"/>
          <w:divBdr>
            <w:top w:val="none" w:sz="0" w:space="0" w:color="auto"/>
            <w:left w:val="none" w:sz="0" w:space="0" w:color="auto"/>
            <w:bottom w:val="none" w:sz="0" w:space="0" w:color="auto"/>
            <w:right w:val="none" w:sz="0" w:space="0" w:color="auto"/>
          </w:divBdr>
        </w:div>
      </w:divsChild>
    </w:div>
    <w:div w:id="1197040472">
      <w:bodyDiv w:val="1"/>
      <w:marLeft w:val="0"/>
      <w:marRight w:val="0"/>
      <w:marTop w:val="0"/>
      <w:marBottom w:val="0"/>
      <w:divBdr>
        <w:top w:val="none" w:sz="0" w:space="0" w:color="auto"/>
        <w:left w:val="none" w:sz="0" w:space="0" w:color="auto"/>
        <w:bottom w:val="none" w:sz="0" w:space="0" w:color="auto"/>
        <w:right w:val="none" w:sz="0" w:space="0" w:color="auto"/>
      </w:divBdr>
      <w:divsChild>
        <w:div w:id="471561926">
          <w:marLeft w:val="0"/>
          <w:marRight w:val="0"/>
          <w:marTop w:val="0"/>
          <w:marBottom w:val="0"/>
          <w:divBdr>
            <w:top w:val="none" w:sz="0" w:space="0" w:color="auto"/>
            <w:left w:val="none" w:sz="0" w:space="0" w:color="auto"/>
            <w:bottom w:val="none" w:sz="0" w:space="0" w:color="auto"/>
            <w:right w:val="none" w:sz="0" w:space="0" w:color="auto"/>
          </w:divBdr>
        </w:div>
      </w:divsChild>
    </w:div>
    <w:div w:id="1198351259">
      <w:bodyDiv w:val="1"/>
      <w:marLeft w:val="0"/>
      <w:marRight w:val="0"/>
      <w:marTop w:val="0"/>
      <w:marBottom w:val="0"/>
      <w:divBdr>
        <w:top w:val="none" w:sz="0" w:space="0" w:color="auto"/>
        <w:left w:val="none" w:sz="0" w:space="0" w:color="auto"/>
        <w:bottom w:val="none" w:sz="0" w:space="0" w:color="auto"/>
        <w:right w:val="none" w:sz="0" w:space="0" w:color="auto"/>
      </w:divBdr>
      <w:divsChild>
        <w:div w:id="182716942">
          <w:marLeft w:val="0"/>
          <w:marRight w:val="0"/>
          <w:marTop w:val="0"/>
          <w:marBottom w:val="0"/>
          <w:divBdr>
            <w:top w:val="none" w:sz="0" w:space="0" w:color="auto"/>
            <w:left w:val="none" w:sz="0" w:space="0" w:color="auto"/>
            <w:bottom w:val="none" w:sz="0" w:space="0" w:color="auto"/>
            <w:right w:val="none" w:sz="0" w:space="0" w:color="auto"/>
          </w:divBdr>
        </w:div>
      </w:divsChild>
    </w:div>
    <w:div w:id="1233156731">
      <w:bodyDiv w:val="1"/>
      <w:marLeft w:val="0"/>
      <w:marRight w:val="0"/>
      <w:marTop w:val="0"/>
      <w:marBottom w:val="0"/>
      <w:divBdr>
        <w:top w:val="none" w:sz="0" w:space="0" w:color="auto"/>
        <w:left w:val="none" w:sz="0" w:space="0" w:color="auto"/>
        <w:bottom w:val="none" w:sz="0" w:space="0" w:color="auto"/>
        <w:right w:val="none" w:sz="0" w:space="0" w:color="auto"/>
      </w:divBdr>
      <w:divsChild>
        <w:div w:id="1632244096">
          <w:marLeft w:val="0"/>
          <w:marRight w:val="0"/>
          <w:marTop w:val="0"/>
          <w:marBottom w:val="0"/>
          <w:divBdr>
            <w:top w:val="none" w:sz="0" w:space="0" w:color="auto"/>
            <w:left w:val="none" w:sz="0" w:space="0" w:color="auto"/>
            <w:bottom w:val="none" w:sz="0" w:space="0" w:color="auto"/>
            <w:right w:val="none" w:sz="0" w:space="0" w:color="auto"/>
          </w:divBdr>
        </w:div>
        <w:div w:id="1060640454">
          <w:marLeft w:val="0"/>
          <w:marRight w:val="0"/>
          <w:marTop w:val="0"/>
          <w:marBottom w:val="0"/>
          <w:divBdr>
            <w:top w:val="none" w:sz="0" w:space="0" w:color="auto"/>
            <w:left w:val="none" w:sz="0" w:space="0" w:color="auto"/>
            <w:bottom w:val="none" w:sz="0" w:space="0" w:color="auto"/>
            <w:right w:val="none" w:sz="0" w:space="0" w:color="auto"/>
          </w:divBdr>
        </w:div>
        <w:div w:id="1377974621">
          <w:marLeft w:val="0"/>
          <w:marRight w:val="0"/>
          <w:marTop w:val="0"/>
          <w:marBottom w:val="0"/>
          <w:divBdr>
            <w:top w:val="none" w:sz="0" w:space="0" w:color="auto"/>
            <w:left w:val="none" w:sz="0" w:space="0" w:color="auto"/>
            <w:bottom w:val="none" w:sz="0" w:space="0" w:color="auto"/>
            <w:right w:val="none" w:sz="0" w:space="0" w:color="auto"/>
          </w:divBdr>
        </w:div>
        <w:div w:id="827284899">
          <w:marLeft w:val="0"/>
          <w:marRight w:val="0"/>
          <w:marTop w:val="0"/>
          <w:marBottom w:val="0"/>
          <w:divBdr>
            <w:top w:val="none" w:sz="0" w:space="0" w:color="auto"/>
            <w:left w:val="none" w:sz="0" w:space="0" w:color="auto"/>
            <w:bottom w:val="none" w:sz="0" w:space="0" w:color="auto"/>
            <w:right w:val="none" w:sz="0" w:space="0" w:color="auto"/>
          </w:divBdr>
        </w:div>
        <w:div w:id="322782885">
          <w:marLeft w:val="0"/>
          <w:marRight w:val="0"/>
          <w:marTop w:val="0"/>
          <w:marBottom w:val="0"/>
          <w:divBdr>
            <w:top w:val="none" w:sz="0" w:space="0" w:color="auto"/>
            <w:left w:val="none" w:sz="0" w:space="0" w:color="auto"/>
            <w:bottom w:val="none" w:sz="0" w:space="0" w:color="auto"/>
            <w:right w:val="none" w:sz="0" w:space="0" w:color="auto"/>
          </w:divBdr>
        </w:div>
        <w:div w:id="561137944">
          <w:marLeft w:val="0"/>
          <w:marRight w:val="0"/>
          <w:marTop w:val="0"/>
          <w:marBottom w:val="0"/>
          <w:divBdr>
            <w:top w:val="none" w:sz="0" w:space="0" w:color="auto"/>
            <w:left w:val="none" w:sz="0" w:space="0" w:color="auto"/>
            <w:bottom w:val="none" w:sz="0" w:space="0" w:color="auto"/>
            <w:right w:val="none" w:sz="0" w:space="0" w:color="auto"/>
          </w:divBdr>
        </w:div>
      </w:divsChild>
    </w:div>
    <w:div w:id="1269661338">
      <w:bodyDiv w:val="1"/>
      <w:marLeft w:val="0"/>
      <w:marRight w:val="0"/>
      <w:marTop w:val="0"/>
      <w:marBottom w:val="0"/>
      <w:divBdr>
        <w:top w:val="none" w:sz="0" w:space="0" w:color="auto"/>
        <w:left w:val="none" w:sz="0" w:space="0" w:color="auto"/>
        <w:bottom w:val="none" w:sz="0" w:space="0" w:color="auto"/>
        <w:right w:val="none" w:sz="0" w:space="0" w:color="auto"/>
      </w:divBdr>
      <w:divsChild>
        <w:div w:id="161979">
          <w:marLeft w:val="0"/>
          <w:marRight w:val="0"/>
          <w:marTop w:val="0"/>
          <w:marBottom w:val="0"/>
          <w:divBdr>
            <w:top w:val="none" w:sz="0" w:space="0" w:color="auto"/>
            <w:left w:val="none" w:sz="0" w:space="0" w:color="auto"/>
            <w:bottom w:val="none" w:sz="0" w:space="0" w:color="auto"/>
            <w:right w:val="none" w:sz="0" w:space="0" w:color="auto"/>
          </w:divBdr>
        </w:div>
      </w:divsChild>
    </w:div>
    <w:div w:id="12798778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357">
          <w:marLeft w:val="0"/>
          <w:marRight w:val="0"/>
          <w:marTop w:val="0"/>
          <w:marBottom w:val="0"/>
          <w:divBdr>
            <w:top w:val="none" w:sz="0" w:space="0" w:color="auto"/>
            <w:left w:val="none" w:sz="0" w:space="0" w:color="auto"/>
            <w:bottom w:val="none" w:sz="0" w:space="0" w:color="auto"/>
            <w:right w:val="none" w:sz="0" w:space="0" w:color="auto"/>
          </w:divBdr>
        </w:div>
      </w:divsChild>
    </w:div>
    <w:div w:id="1289168606">
      <w:bodyDiv w:val="1"/>
      <w:marLeft w:val="0"/>
      <w:marRight w:val="0"/>
      <w:marTop w:val="0"/>
      <w:marBottom w:val="0"/>
      <w:divBdr>
        <w:top w:val="none" w:sz="0" w:space="0" w:color="auto"/>
        <w:left w:val="none" w:sz="0" w:space="0" w:color="auto"/>
        <w:bottom w:val="none" w:sz="0" w:space="0" w:color="auto"/>
        <w:right w:val="none" w:sz="0" w:space="0" w:color="auto"/>
      </w:divBdr>
      <w:divsChild>
        <w:div w:id="512378066">
          <w:marLeft w:val="0"/>
          <w:marRight w:val="0"/>
          <w:marTop w:val="0"/>
          <w:marBottom w:val="0"/>
          <w:divBdr>
            <w:top w:val="none" w:sz="0" w:space="0" w:color="auto"/>
            <w:left w:val="none" w:sz="0" w:space="0" w:color="auto"/>
            <w:bottom w:val="none" w:sz="0" w:space="0" w:color="auto"/>
            <w:right w:val="none" w:sz="0" w:space="0" w:color="auto"/>
          </w:divBdr>
        </w:div>
      </w:divsChild>
    </w:div>
    <w:div w:id="1309700273">
      <w:bodyDiv w:val="1"/>
      <w:marLeft w:val="0"/>
      <w:marRight w:val="0"/>
      <w:marTop w:val="0"/>
      <w:marBottom w:val="0"/>
      <w:divBdr>
        <w:top w:val="none" w:sz="0" w:space="0" w:color="auto"/>
        <w:left w:val="none" w:sz="0" w:space="0" w:color="auto"/>
        <w:bottom w:val="none" w:sz="0" w:space="0" w:color="auto"/>
        <w:right w:val="none" w:sz="0" w:space="0" w:color="auto"/>
      </w:divBdr>
      <w:divsChild>
        <w:div w:id="103810260">
          <w:marLeft w:val="0"/>
          <w:marRight w:val="0"/>
          <w:marTop w:val="0"/>
          <w:marBottom w:val="0"/>
          <w:divBdr>
            <w:top w:val="none" w:sz="0" w:space="0" w:color="auto"/>
            <w:left w:val="none" w:sz="0" w:space="0" w:color="auto"/>
            <w:bottom w:val="none" w:sz="0" w:space="0" w:color="auto"/>
            <w:right w:val="none" w:sz="0" w:space="0" w:color="auto"/>
          </w:divBdr>
        </w:div>
      </w:divsChild>
    </w:div>
    <w:div w:id="1368095652">
      <w:bodyDiv w:val="1"/>
      <w:marLeft w:val="0"/>
      <w:marRight w:val="0"/>
      <w:marTop w:val="0"/>
      <w:marBottom w:val="0"/>
      <w:divBdr>
        <w:top w:val="none" w:sz="0" w:space="0" w:color="auto"/>
        <w:left w:val="none" w:sz="0" w:space="0" w:color="auto"/>
        <w:bottom w:val="none" w:sz="0" w:space="0" w:color="auto"/>
        <w:right w:val="none" w:sz="0" w:space="0" w:color="auto"/>
      </w:divBdr>
      <w:divsChild>
        <w:div w:id="202985389">
          <w:marLeft w:val="0"/>
          <w:marRight w:val="0"/>
          <w:marTop w:val="0"/>
          <w:marBottom w:val="0"/>
          <w:divBdr>
            <w:top w:val="none" w:sz="0" w:space="0" w:color="auto"/>
            <w:left w:val="none" w:sz="0" w:space="0" w:color="auto"/>
            <w:bottom w:val="none" w:sz="0" w:space="0" w:color="auto"/>
            <w:right w:val="none" w:sz="0" w:space="0" w:color="auto"/>
          </w:divBdr>
        </w:div>
      </w:divsChild>
    </w:div>
    <w:div w:id="1373117464">
      <w:bodyDiv w:val="1"/>
      <w:marLeft w:val="0"/>
      <w:marRight w:val="0"/>
      <w:marTop w:val="0"/>
      <w:marBottom w:val="0"/>
      <w:divBdr>
        <w:top w:val="none" w:sz="0" w:space="0" w:color="auto"/>
        <w:left w:val="none" w:sz="0" w:space="0" w:color="auto"/>
        <w:bottom w:val="none" w:sz="0" w:space="0" w:color="auto"/>
        <w:right w:val="none" w:sz="0" w:space="0" w:color="auto"/>
      </w:divBdr>
      <w:divsChild>
        <w:div w:id="142234183">
          <w:marLeft w:val="0"/>
          <w:marRight w:val="0"/>
          <w:marTop w:val="0"/>
          <w:marBottom w:val="0"/>
          <w:divBdr>
            <w:top w:val="none" w:sz="0" w:space="0" w:color="auto"/>
            <w:left w:val="none" w:sz="0" w:space="0" w:color="auto"/>
            <w:bottom w:val="none" w:sz="0" w:space="0" w:color="auto"/>
            <w:right w:val="none" w:sz="0" w:space="0" w:color="auto"/>
          </w:divBdr>
        </w:div>
        <w:div w:id="435292273">
          <w:marLeft w:val="0"/>
          <w:marRight w:val="0"/>
          <w:marTop w:val="0"/>
          <w:marBottom w:val="0"/>
          <w:divBdr>
            <w:top w:val="none" w:sz="0" w:space="0" w:color="auto"/>
            <w:left w:val="none" w:sz="0" w:space="0" w:color="auto"/>
            <w:bottom w:val="none" w:sz="0" w:space="0" w:color="auto"/>
            <w:right w:val="none" w:sz="0" w:space="0" w:color="auto"/>
          </w:divBdr>
        </w:div>
      </w:divsChild>
    </w:div>
    <w:div w:id="1376391651">
      <w:bodyDiv w:val="1"/>
      <w:marLeft w:val="0"/>
      <w:marRight w:val="0"/>
      <w:marTop w:val="0"/>
      <w:marBottom w:val="0"/>
      <w:divBdr>
        <w:top w:val="none" w:sz="0" w:space="0" w:color="auto"/>
        <w:left w:val="none" w:sz="0" w:space="0" w:color="auto"/>
        <w:bottom w:val="none" w:sz="0" w:space="0" w:color="auto"/>
        <w:right w:val="none" w:sz="0" w:space="0" w:color="auto"/>
      </w:divBdr>
      <w:divsChild>
        <w:div w:id="864447397">
          <w:marLeft w:val="0"/>
          <w:marRight w:val="0"/>
          <w:marTop w:val="0"/>
          <w:marBottom w:val="0"/>
          <w:divBdr>
            <w:top w:val="none" w:sz="0" w:space="0" w:color="auto"/>
            <w:left w:val="none" w:sz="0" w:space="0" w:color="auto"/>
            <w:bottom w:val="none" w:sz="0" w:space="0" w:color="auto"/>
            <w:right w:val="none" w:sz="0" w:space="0" w:color="auto"/>
          </w:divBdr>
        </w:div>
      </w:divsChild>
    </w:div>
    <w:div w:id="1400328606">
      <w:bodyDiv w:val="1"/>
      <w:marLeft w:val="0"/>
      <w:marRight w:val="0"/>
      <w:marTop w:val="0"/>
      <w:marBottom w:val="0"/>
      <w:divBdr>
        <w:top w:val="none" w:sz="0" w:space="0" w:color="auto"/>
        <w:left w:val="none" w:sz="0" w:space="0" w:color="auto"/>
        <w:bottom w:val="none" w:sz="0" w:space="0" w:color="auto"/>
        <w:right w:val="none" w:sz="0" w:space="0" w:color="auto"/>
      </w:divBdr>
      <w:divsChild>
        <w:div w:id="139883957">
          <w:marLeft w:val="0"/>
          <w:marRight w:val="0"/>
          <w:marTop w:val="0"/>
          <w:marBottom w:val="0"/>
          <w:divBdr>
            <w:top w:val="none" w:sz="0" w:space="0" w:color="auto"/>
            <w:left w:val="none" w:sz="0" w:space="0" w:color="auto"/>
            <w:bottom w:val="none" w:sz="0" w:space="0" w:color="auto"/>
            <w:right w:val="none" w:sz="0" w:space="0" w:color="auto"/>
          </w:divBdr>
        </w:div>
      </w:divsChild>
    </w:div>
    <w:div w:id="140510538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93">
          <w:marLeft w:val="0"/>
          <w:marRight w:val="0"/>
          <w:marTop w:val="0"/>
          <w:marBottom w:val="0"/>
          <w:divBdr>
            <w:top w:val="none" w:sz="0" w:space="0" w:color="auto"/>
            <w:left w:val="none" w:sz="0" w:space="0" w:color="auto"/>
            <w:bottom w:val="none" w:sz="0" w:space="0" w:color="auto"/>
            <w:right w:val="none" w:sz="0" w:space="0" w:color="auto"/>
          </w:divBdr>
        </w:div>
        <w:div w:id="665132119">
          <w:marLeft w:val="0"/>
          <w:marRight w:val="0"/>
          <w:marTop w:val="0"/>
          <w:marBottom w:val="0"/>
          <w:divBdr>
            <w:top w:val="none" w:sz="0" w:space="0" w:color="auto"/>
            <w:left w:val="none" w:sz="0" w:space="0" w:color="auto"/>
            <w:bottom w:val="none" w:sz="0" w:space="0" w:color="auto"/>
            <w:right w:val="none" w:sz="0" w:space="0" w:color="auto"/>
          </w:divBdr>
        </w:div>
      </w:divsChild>
    </w:div>
    <w:div w:id="1419599295">
      <w:bodyDiv w:val="1"/>
      <w:marLeft w:val="0"/>
      <w:marRight w:val="0"/>
      <w:marTop w:val="0"/>
      <w:marBottom w:val="0"/>
      <w:divBdr>
        <w:top w:val="none" w:sz="0" w:space="0" w:color="auto"/>
        <w:left w:val="none" w:sz="0" w:space="0" w:color="auto"/>
        <w:bottom w:val="none" w:sz="0" w:space="0" w:color="auto"/>
        <w:right w:val="none" w:sz="0" w:space="0" w:color="auto"/>
      </w:divBdr>
      <w:divsChild>
        <w:div w:id="1830824782">
          <w:marLeft w:val="0"/>
          <w:marRight w:val="0"/>
          <w:marTop w:val="0"/>
          <w:marBottom w:val="0"/>
          <w:divBdr>
            <w:top w:val="none" w:sz="0" w:space="0" w:color="auto"/>
            <w:left w:val="none" w:sz="0" w:space="0" w:color="auto"/>
            <w:bottom w:val="none" w:sz="0" w:space="0" w:color="auto"/>
            <w:right w:val="none" w:sz="0" w:space="0" w:color="auto"/>
          </w:divBdr>
        </w:div>
      </w:divsChild>
    </w:div>
    <w:div w:id="1433280917">
      <w:bodyDiv w:val="1"/>
      <w:marLeft w:val="0"/>
      <w:marRight w:val="0"/>
      <w:marTop w:val="0"/>
      <w:marBottom w:val="0"/>
      <w:divBdr>
        <w:top w:val="none" w:sz="0" w:space="0" w:color="auto"/>
        <w:left w:val="none" w:sz="0" w:space="0" w:color="auto"/>
        <w:bottom w:val="none" w:sz="0" w:space="0" w:color="auto"/>
        <w:right w:val="none" w:sz="0" w:space="0" w:color="auto"/>
      </w:divBdr>
      <w:divsChild>
        <w:div w:id="1937667700">
          <w:marLeft w:val="0"/>
          <w:marRight w:val="0"/>
          <w:marTop w:val="0"/>
          <w:marBottom w:val="0"/>
          <w:divBdr>
            <w:top w:val="none" w:sz="0" w:space="0" w:color="auto"/>
            <w:left w:val="none" w:sz="0" w:space="0" w:color="auto"/>
            <w:bottom w:val="none" w:sz="0" w:space="0" w:color="auto"/>
            <w:right w:val="none" w:sz="0" w:space="0" w:color="auto"/>
          </w:divBdr>
        </w:div>
        <w:div w:id="1235971696">
          <w:marLeft w:val="0"/>
          <w:marRight w:val="0"/>
          <w:marTop w:val="0"/>
          <w:marBottom w:val="0"/>
          <w:divBdr>
            <w:top w:val="none" w:sz="0" w:space="0" w:color="auto"/>
            <w:left w:val="none" w:sz="0" w:space="0" w:color="auto"/>
            <w:bottom w:val="none" w:sz="0" w:space="0" w:color="auto"/>
            <w:right w:val="none" w:sz="0" w:space="0" w:color="auto"/>
          </w:divBdr>
        </w:div>
        <w:div w:id="1978140911">
          <w:marLeft w:val="0"/>
          <w:marRight w:val="0"/>
          <w:marTop w:val="0"/>
          <w:marBottom w:val="0"/>
          <w:divBdr>
            <w:top w:val="none" w:sz="0" w:space="0" w:color="auto"/>
            <w:left w:val="none" w:sz="0" w:space="0" w:color="auto"/>
            <w:bottom w:val="none" w:sz="0" w:space="0" w:color="auto"/>
            <w:right w:val="none" w:sz="0" w:space="0" w:color="auto"/>
          </w:divBdr>
        </w:div>
        <w:div w:id="2073231446">
          <w:marLeft w:val="0"/>
          <w:marRight w:val="0"/>
          <w:marTop w:val="0"/>
          <w:marBottom w:val="0"/>
          <w:divBdr>
            <w:top w:val="none" w:sz="0" w:space="0" w:color="auto"/>
            <w:left w:val="none" w:sz="0" w:space="0" w:color="auto"/>
            <w:bottom w:val="none" w:sz="0" w:space="0" w:color="auto"/>
            <w:right w:val="none" w:sz="0" w:space="0" w:color="auto"/>
          </w:divBdr>
        </w:div>
        <w:div w:id="585303436">
          <w:marLeft w:val="0"/>
          <w:marRight w:val="0"/>
          <w:marTop w:val="0"/>
          <w:marBottom w:val="0"/>
          <w:divBdr>
            <w:top w:val="none" w:sz="0" w:space="0" w:color="auto"/>
            <w:left w:val="none" w:sz="0" w:space="0" w:color="auto"/>
            <w:bottom w:val="none" w:sz="0" w:space="0" w:color="auto"/>
            <w:right w:val="none" w:sz="0" w:space="0" w:color="auto"/>
          </w:divBdr>
        </w:div>
      </w:divsChild>
    </w:div>
    <w:div w:id="1447626284">
      <w:bodyDiv w:val="1"/>
      <w:marLeft w:val="0"/>
      <w:marRight w:val="0"/>
      <w:marTop w:val="0"/>
      <w:marBottom w:val="0"/>
      <w:divBdr>
        <w:top w:val="none" w:sz="0" w:space="0" w:color="auto"/>
        <w:left w:val="none" w:sz="0" w:space="0" w:color="auto"/>
        <w:bottom w:val="none" w:sz="0" w:space="0" w:color="auto"/>
        <w:right w:val="none" w:sz="0" w:space="0" w:color="auto"/>
      </w:divBdr>
      <w:divsChild>
        <w:div w:id="546767697">
          <w:marLeft w:val="0"/>
          <w:marRight w:val="0"/>
          <w:marTop w:val="0"/>
          <w:marBottom w:val="0"/>
          <w:divBdr>
            <w:top w:val="none" w:sz="0" w:space="0" w:color="auto"/>
            <w:left w:val="none" w:sz="0" w:space="0" w:color="auto"/>
            <w:bottom w:val="none" w:sz="0" w:space="0" w:color="auto"/>
            <w:right w:val="none" w:sz="0" w:space="0" w:color="auto"/>
          </w:divBdr>
        </w:div>
        <w:div w:id="841701531">
          <w:marLeft w:val="0"/>
          <w:marRight w:val="0"/>
          <w:marTop w:val="0"/>
          <w:marBottom w:val="0"/>
          <w:divBdr>
            <w:top w:val="none" w:sz="0" w:space="0" w:color="auto"/>
            <w:left w:val="none" w:sz="0" w:space="0" w:color="auto"/>
            <w:bottom w:val="none" w:sz="0" w:space="0" w:color="auto"/>
            <w:right w:val="none" w:sz="0" w:space="0" w:color="auto"/>
          </w:divBdr>
        </w:div>
      </w:divsChild>
    </w:div>
    <w:div w:id="1495140965">
      <w:bodyDiv w:val="1"/>
      <w:marLeft w:val="0"/>
      <w:marRight w:val="0"/>
      <w:marTop w:val="0"/>
      <w:marBottom w:val="0"/>
      <w:divBdr>
        <w:top w:val="none" w:sz="0" w:space="0" w:color="auto"/>
        <w:left w:val="none" w:sz="0" w:space="0" w:color="auto"/>
        <w:bottom w:val="none" w:sz="0" w:space="0" w:color="auto"/>
        <w:right w:val="none" w:sz="0" w:space="0" w:color="auto"/>
      </w:divBdr>
      <w:divsChild>
        <w:div w:id="640622159">
          <w:marLeft w:val="0"/>
          <w:marRight w:val="0"/>
          <w:marTop w:val="0"/>
          <w:marBottom w:val="0"/>
          <w:divBdr>
            <w:top w:val="none" w:sz="0" w:space="0" w:color="auto"/>
            <w:left w:val="none" w:sz="0" w:space="0" w:color="auto"/>
            <w:bottom w:val="none" w:sz="0" w:space="0" w:color="auto"/>
            <w:right w:val="none" w:sz="0" w:space="0" w:color="auto"/>
          </w:divBdr>
        </w:div>
      </w:divsChild>
    </w:div>
    <w:div w:id="1516726508">
      <w:bodyDiv w:val="1"/>
      <w:marLeft w:val="0"/>
      <w:marRight w:val="0"/>
      <w:marTop w:val="0"/>
      <w:marBottom w:val="0"/>
      <w:divBdr>
        <w:top w:val="none" w:sz="0" w:space="0" w:color="auto"/>
        <w:left w:val="none" w:sz="0" w:space="0" w:color="auto"/>
        <w:bottom w:val="none" w:sz="0" w:space="0" w:color="auto"/>
        <w:right w:val="none" w:sz="0" w:space="0" w:color="auto"/>
      </w:divBdr>
      <w:divsChild>
        <w:div w:id="1228691354">
          <w:marLeft w:val="0"/>
          <w:marRight w:val="0"/>
          <w:marTop w:val="0"/>
          <w:marBottom w:val="0"/>
          <w:divBdr>
            <w:top w:val="none" w:sz="0" w:space="0" w:color="auto"/>
            <w:left w:val="none" w:sz="0" w:space="0" w:color="auto"/>
            <w:bottom w:val="none" w:sz="0" w:space="0" w:color="auto"/>
            <w:right w:val="none" w:sz="0" w:space="0" w:color="auto"/>
          </w:divBdr>
        </w:div>
      </w:divsChild>
    </w:div>
    <w:div w:id="1575965577">
      <w:bodyDiv w:val="1"/>
      <w:marLeft w:val="0"/>
      <w:marRight w:val="0"/>
      <w:marTop w:val="0"/>
      <w:marBottom w:val="0"/>
      <w:divBdr>
        <w:top w:val="none" w:sz="0" w:space="0" w:color="auto"/>
        <w:left w:val="none" w:sz="0" w:space="0" w:color="auto"/>
        <w:bottom w:val="none" w:sz="0" w:space="0" w:color="auto"/>
        <w:right w:val="none" w:sz="0" w:space="0" w:color="auto"/>
      </w:divBdr>
      <w:divsChild>
        <w:div w:id="1155877592">
          <w:marLeft w:val="0"/>
          <w:marRight w:val="0"/>
          <w:marTop w:val="0"/>
          <w:marBottom w:val="0"/>
          <w:divBdr>
            <w:top w:val="none" w:sz="0" w:space="0" w:color="auto"/>
            <w:left w:val="none" w:sz="0" w:space="0" w:color="auto"/>
            <w:bottom w:val="none" w:sz="0" w:space="0" w:color="auto"/>
            <w:right w:val="none" w:sz="0" w:space="0" w:color="auto"/>
          </w:divBdr>
        </w:div>
      </w:divsChild>
    </w:div>
    <w:div w:id="1611006739">
      <w:bodyDiv w:val="1"/>
      <w:marLeft w:val="0"/>
      <w:marRight w:val="0"/>
      <w:marTop w:val="0"/>
      <w:marBottom w:val="0"/>
      <w:divBdr>
        <w:top w:val="none" w:sz="0" w:space="0" w:color="auto"/>
        <w:left w:val="none" w:sz="0" w:space="0" w:color="auto"/>
        <w:bottom w:val="none" w:sz="0" w:space="0" w:color="auto"/>
        <w:right w:val="none" w:sz="0" w:space="0" w:color="auto"/>
      </w:divBdr>
      <w:divsChild>
        <w:div w:id="1148134592">
          <w:marLeft w:val="0"/>
          <w:marRight w:val="0"/>
          <w:marTop w:val="0"/>
          <w:marBottom w:val="0"/>
          <w:divBdr>
            <w:top w:val="none" w:sz="0" w:space="0" w:color="auto"/>
            <w:left w:val="none" w:sz="0" w:space="0" w:color="auto"/>
            <w:bottom w:val="none" w:sz="0" w:space="0" w:color="auto"/>
            <w:right w:val="none" w:sz="0" w:space="0" w:color="auto"/>
          </w:divBdr>
        </w:div>
      </w:divsChild>
    </w:div>
    <w:div w:id="1628001322">
      <w:bodyDiv w:val="1"/>
      <w:marLeft w:val="0"/>
      <w:marRight w:val="0"/>
      <w:marTop w:val="0"/>
      <w:marBottom w:val="0"/>
      <w:divBdr>
        <w:top w:val="none" w:sz="0" w:space="0" w:color="auto"/>
        <w:left w:val="none" w:sz="0" w:space="0" w:color="auto"/>
        <w:bottom w:val="none" w:sz="0" w:space="0" w:color="auto"/>
        <w:right w:val="none" w:sz="0" w:space="0" w:color="auto"/>
      </w:divBdr>
      <w:divsChild>
        <w:div w:id="1234046436">
          <w:marLeft w:val="0"/>
          <w:marRight w:val="0"/>
          <w:marTop w:val="0"/>
          <w:marBottom w:val="0"/>
          <w:divBdr>
            <w:top w:val="none" w:sz="0" w:space="0" w:color="auto"/>
            <w:left w:val="none" w:sz="0" w:space="0" w:color="auto"/>
            <w:bottom w:val="none" w:sz="0" w:space="0" w:color="auto"/>
            <w:right w:val="none" w:sz="0" w:space="0" w:color="auto"/>
          </w:divBdr>
        </w:div>
      </w:divsChild>
    </w:div>
    <w:div w:id="1688748431">
      <w:bodyDiv w:val="1"/>
      <w:marLeft w:val="0"/>
      <w:marRight w:val="0"/>
      <w:marTop w:val="0"/>
      <w:marBottom w:val="0"/>
      <w:divBdr>
        <w:top w:val="none" w:sz="0" w:space="0" w:color="auto"/>
        <w:left w:val="none" w:sz="0" w:space="0" w:color="auto"/>
        <w:bottom w:val="none" w:sz="0" w:space="0" w:color="auto"/>
        <w:right w:val="none" w:sz="0" w:space="0" w:color="auto"/>
      </w:divBdr>
      <w:divsChild>
        <w:div w:id="121535282">
          <w:marLeft w:val="0"/>
          <w:marRight w:val="0"/>
          <w:marTop w:val="0"/>
          <w:marBottom w:val="0"/>
          <w:divBdr>
            <w:top w:val="none" w:sz="0" w:space="0" w:color="auto"/>
            <w:left w:val="none" w:sz="0" w:space="0" w:color="auto"/>
            <w:bottom w:val="none" w:sz="0" w:space="0" w:color="auto"/>
            <w:right w:val="none" w:sz="0" w:space="0" w:color="auto"/>
          </w:divBdr>
        </w:div>
      </w:divsChild>
    </w:div>
    <w:div w:id="1705055620">
      <w:bodyDiv w:val="1"/>
      <w:marLeft w:val="0"/>
      <w:marRight w:val="0"/>
      <w:marTop w:val="0"/>
      <w:marBottom w:val="0"/>
      <w:divBdr>
        <w:top w:val="none" w:sz="0" w:space="0" w:color="auto"/>
        <w:left w:val="none" w:sz="0" w:space="0" w:color="auto"/>
        <w:bottom w:val="none" w:sz="0" w:space="0" w:color="auto"/>
        <w:right w:val="none" w:sz="0" w:space="0" w:color="auto"/>
      </w:divBdr>
      <w:divsChild>
        <w:div w:id="1517647026">
          <w:marLeft w:val="0"/>
          <w:marRight w:val="0"/>
          <w:marTop w:val="0"/>
          <w:marBottom w:val="0"/>
          <w:divBdr>
            <w:top w:val="none" w:sz="0" w:space="0" w:color="auto"/>
            <w:left w:val="none" w:sz="0" w:space="0" w:color="auto"/>
            <w:bottom w:val="none" w:sz="0" w:space="0" w:color="auto"/>
            <w:right w:val="none" w:sz="0" w:space="0" w:color="auto"/>
          </w:divBdr>
        </w:div>
        <w:div w:id="1006634424">
          <w:marLeft w:val="0"/>
          <w:marRight w:val="0"/>
          <w:marTop w:val="0"/>
          <w:marBottom w:val="0"/>
          <w:divBdr>
            <w:top w:val="none" w:sz="0" w:space="0" w:color="auto"/>
            <w:left w:val="none" w:sz="0" w:space="0" w:color="auto"/>
            <w:bottom w:val="none" w:sz="0" w:space="0" w:color="auto"/>
            <w:right w:val="none" w:sz="0" w:space="0" w:color="auto"/>
          </w:divBdr>
        </w:div>
        <w:div w:id="1023283337">
          <w:marLeft w:val="0"/>
          <w:marRight w:val="0"/>
          <w:marTop w:val="0"/>
          <w:marBottom w:val="0"/>
          <w:divBdr>
            <w:top w:val="none" w:sz="0" w:space="0" w:color="auto"/>
            <w:left w:val="none" w:sz="0" w:space="0" w:color="auto"/>
            <w:bottom w:val="none" w:sz="0" w:space="0" w:color="auto"/>
            <w:right w:val="none" w:sz="0" w:space="0" w:color="auto"/>
          </w:divBdr>
        </w:div>
        <w:div w:id="1674913293">
          <w:marLeft w:val="0"/>
          <w:marRight w:val="0"/>
          <w:marTop w:val="0"/>
          <w:marBottom w:val="0"/>
          <w:divBdr>
            <w:top w:val="none" w:sz="0" w:space="0" w:color="auto"/>
            <w:left w:val="none" w:sz="0" w:space="0" w:color="auto"/>
            <w:bottom w:val="none" w:sz="0" w:space="0" w:color="auto"/>
            <w:right w:val="none" w:sz="0" w:space="0" w:color="auto"/>
          </w:divBdr>
        </w:div>
        <w:div w:id="307979967">
          <w:marLeft w:val="0"/>
          <w:marRight w:val="0"/>
          <w:marTop w:val="0"/>
          <w:marBottom w:val="0"/>
          <w:divBdr>
            <w:top w:val="none" w:sz="0" w:space="0" w:color="auto"/>
            <w:left w:val="none" w:sz="0" w:space="0" w:color="auto"/>
            <w:bottom w:val="none" w:sz="0" w:space="0" w:color="auto"/>
            <w:right w:val="none" w:sz="0" w:space="0" w:color="auto"/>
          </w:divBdr>
        </w:div>
      </w:divsChild>
    </w:div>
    <w:div w:id="1747678999">
      <w:bodyDiv w:val="1"/>
      <w:marLeft w:val="0"/>
      <w:marRight w:val="0"/>
      <w:marTop w:val="0"/>
      <w:marBottom w:val="0"/>
      <w:divBdr>
        <w:top w:val="none" w:sz="0" w:space="0" w:color="auto"/>
        <w:left w:val="none" w:sz="0" w:space="0" w:color="auto"/>
        <w:bottom w:val="none" w:sz="0" w:space="0" w:color="auto"/>
        <w:right w:val="none" w:sz="0" w:space="0" w:color="auto"/>
      </w:divBdr>
      <w:divsChild>
        <w:div w:id="1657227392">
          <w:marLeft w:val="0"/>
          <w:marRight w:val="0"/>
          <w:marTop w:val="0"/>
          <w:marBottom w:val="0"/>
          <w:divBdr>
            <w:top w:val="none" w:sz="0" w:space="0" w:color="auto"/>
            <w:left w:val="none" w:sz="0" w:space="0" w:color="auto"/>
            <w:bottom w:val="none" w:sz="0" w:space="0" w:color="auto"/>
            <w:right w:val="none" w:sz="0" w:space="0" w:color="auto"/>
          </w:divBdr>
        </w:div>
        <w:div w:id="1815486122">
          <w:marLeft w:val="0"/>
          <w:marRight w:val="0"/>
          <w:marTop w:val="0"/>
          <w:marBottom w:val="0"/>
          <w:divBdr>
            <w:top w:val="none" w:sz="0" w:space="0" w:color="auto"/>
            <w:left w:val="none" w:sz="0" w:space="0" w:color="auto"/>
            <w:bottom w:val="none" w:sz="0" w:space="0" w:color="auto"/>
            <w:right w:val="none" w:sz="0" w:space="0" w:color="auto"/>
          </w:divBdr>
        </w:div>
      </w:divsChild>
    </w:div>
    <w:div w:id="1749182094">
      <w:bodyDiv w:val="1"/>
      <w:marLeft w:val="0"/>
      <w:marRight w:val="0"/>
      <w:marTop w:val="0"/>
      <w:marBottom w:val="0"/>
      <w:divBdr>
        <w:top w:val="none" w:sz="0" w:space="0" w:color="auto"/>
        <w:left w:val="none" w:sz="0" w:space="0" w:color="auto"/>
        <w:bottom w:val="none" w:sz="0" w:space="0" w:color="auto"/>
        <w:right w:val="none" w:sz="0" w:space="0" w:color="auto"/>
      </w:divBdr>
      <w:divsChild>
        <w:div w:id="1927494362">
          <w:marLeft w:val="0"/>
          <w:marRight w:val="0"/>
          <w:marTop w:val="0"/>
          <w:marBottom w:val="0"/>
          <w:divBdr>
            <w:top w:val="none" w:sz="0" w:space="0" w:color="auto"/>
            <w:left w:val="none" w:sz="0" w:space="0" w:color="auto"/>
            <w:bottom w:val="none" w:sz="0" w:space="0" w:color="auto"/>
            <w:right w:val="none" w:sz="0" w:space="0" w:color="auto"/>
          </w:divBdr>
        </w:div>
      </w:divsChild>
    </w:div>
    <w:div w:id="1838571839">
      <w:bodyDiv w:val="1"/>
      <w:marLeft w:val="0"/>
      <w:marRight w:val="0"/>
      <w:marTop w:val="0"/>
      <w:marBottom w:val="0"/>
      <w:divBdr>
        <w:top w:val="none" w:sz="0" w:space="0" w:color="auto"/>
        <w:left w:val="none" w:sz="0" w:space="0" w:color="auto"/>
        <w:bottom w:val="none" w:sz="0" w:space="0" w:color="auto"/>
        <w:right w:val="none" w:sz="0" w:space="0" w:color="auto"/>
      </w:divBdr>
      <w:divsChild>
        <w:div w:id="133107883">
          <w:marLeft w:val="0"/>
          <w:marRight w:val="0"/>
          <w:marTop w:val="0"/>
          <w:marBottom w:val="0"/>
          <w:divBdr>
            <w:top w:val="none" w:sz="0" w:space="0" w:color="auto"/>
            <w:left w:val="none" w:sz="0" w:space="0" w:color="auto"/>
            <w:bottom w:val="none" w:sz="0" w:space="0" w:color="auto"/>
            <w:right w:val="none" w:sz="0" w:space="0" w:color="auto"/>
          </w:divBdr>
        </w:div>
      </w:divsChild>
    </w:div>
    <w:div w:id="1862889357">
      <w:bodyDiv w:val="1"/>
      <w:marLeft w:val="0"/>
      <w:marRight w:val="0"/>
      <w:marTop w:val="0"/>
      <w:marBottom w:val="0"/>
      <w:divBdr>
        <w:top w:val="none" w:sz="0" w:space="0" w:color="auto"/>
        <w:left w:val="none" w:sz="0" w:space="0" w:color="auto"/>
        <w:bottom w:val="none" w:sz="0" w:space="0" w:color="auto"/>
        <w:right w:val="none" w:sz="0" w:space="0" w:color="auto"/>
      </w:divBdr>
      <w:divsChild>
        <w:div w:id="1315334071">
          <w:marLeft w:val="0"/>
          <w:marRight w:val="0"/>
          <w:marTop w:val="0"/>
          <w:marBottom w:val="0"/>
          <w:divBdr>
            <w:top w:val="none" w:sz="0" w:space="0" w:color="auto"/>
            <w:left w:val="none" w:sz="0" w:space="0" w:color="auto"/>
            <w:bottom w:val="none" w:sz="0" w:space="0" w:color="auto"/>
            <w:right w:val="none" w:sz="0" w:space="0" w:color="auto"/>
          </w:divBdr>
        </w:div>
      </w:divsChild>
    </w:div>
    <w:div w:id="1949312664">
      <w:bodyDiv w:val="1"/>
      <w:marLeft w:val="0"/>
      <w:marRight w:val="0"/>
      <w:marTop w:val="0"/>
      <w:marBottom w:val="0"/>
      <w:divBdr>
        <w:top w:val="none" w:sz="0" w:space="0" w:color="auto"/>
        <w:left w:val="none" w:sz="0" w:space="0" w:color="auto"/>
        <w:bottom w:val="none" w:sz="0" w:space="0" w:color="auto"/>
        <w:right w:val="none" w:sz="0" w:space="0" w:color="auto"/>
      </w:divBdr>
      <w:divsChild>
        <w:div w:id="1250774394">
          <w:marLeft w:val="0"/>
          <w:marRight w:val="0"/>
          <w:marTop w:val="0"/>
          <w:marBottom w:val="0"/>
          <w:divBdr>
            <w:top w:val="none" w:sz="0" w:space="0" w:color="auto"/>
            <w:left w:val="none" w:sz="0" w:space="0" w:color="auto"/>
            <w:bottom w:val="none" w:sz="0" w:space="0" w:color="auto"/>
            <w:right w:val="none" w:sz="0" w:space="0" w:color="auto"/>
          </w:divBdr>
        </w:div>
        <w:div w:id="1813593876">
          <w:marLeft w:val="0"/>
          <w:marRight w:val="0"/>
          <w:marTop w:val="0"/>
          <w:marBottom w:val="0"/>
          <w:divBdr>
            <w:top w:val="none" w:sz="0" w:space="0" w:color="auto"/>
            <w:left w:val="none" w:sz="0" w:space="0" w:color="auto"/>
            <w:bottom w:val="none" w:sz="0" w:space="0" w:color="auto"/>
            <w:right w:val="none" w:sz="0" w:space="0" w:color="auto"/>
          </w:divBdr>
        </w:div>
        <w:div w:id="1456363605">
          <w:marLeft w:val="0"/>
          <w:marRight w:val="0"/>
          <w:marTop w:val="0"/>
          <w:marBottom w:val="0"/>
          <w:divBdr>
            <w:top w:val="none" w:sz="0" w:space="0" w:color="auto"/>
            <w:left w:val="none" w:sz="0" w:space="0" w:color="auto"/>
            <w:bottom w:val="none" w:sz="0" w:space="0" w:color="auto"/>
            <w:right w:val="none" w:sz="0" w:space="0" w:color="auto"/>
          </w:divBdr>
        </w:div>
        <w:div w:id="799689841">
          <w:marLeft w:val="0"/>
          <w:marRight w:val="0"/>
          <w:marTop w:val="0"/>
          <w:marBottom w:val="0"/>
          <w:divBdr>
            <w:top w:val="none" w:sz="0" w:space="0" w:color="auto"/>
            <w:left w:val="none" w:sz="0" w:space="0" w:color="auto"/>
            <w:bottom w:val="none" w:sz="0" w:space="0" w:color="auto"/>
            <w:right w:val="none" w:sz="0" w:space="0" w:color="auto"/>
          </w:divBdr>
        </w:div>
        <w:div w:id="984309952">
          <w:marLeft w:val="0"/>
          <w:marRight w:val="0"/>
          <w:marTop w:val="0"/>
          <w:marBottom w:val="0"/>
          <w:divBdr>
            <w:top w:val="none" w:sz="0" w:space="0" w:color="auto"/>
            <w:left w:val="none" w:sz="0" w:space="0" w:color="auto"/>
            <w:bottom w:val="none" w:sz="0" w:space="0" w:color="auto"/>
            <w:right w:val="none" w:sz="0" w:space="0" w:color="auto"/>
          </w:divBdr>
        </w:div>
        <w:div w:id="293679961">
          <w:marLeft w:val="0"/>
          <w:marRight w:val="0"/>
          <w:marTop w:val="0"/>
          <w:marBottom w:val="0"/>
          <w:divBdr>
            <w:top w:val="none" w:sz="0" w:space="0" w:color="auto"/>
            <w:left w:val="none" w:sz="0" w:space="0" w:color="auto"/>
            <w:bottom w:val="none" w:sz="0" w:space="0" w:color="auto"/>
            <w:right w:val="none" w:sz="0" w:space="0" w:color="auto"/>
          </w:divBdr>
        </w:div>
      </w:divsChild>
    </w:div>
    <w:div w:id="1954898191">
      <w:bodyDiv w:val="1"/>
      <w:marLeft w:val="0"/>
      <w:marRight w:val="0"/>
      <w:marTop w:val="0"/>
      <w:marBottom w:val="0"/>
      <w:divBdr>
        <w:top w:val="none" w:sz="0" w:space="0" w:color="auto"/>
        <w:left w:val="none" w:sz="0" w:space="0" w:color="auto"/>
        <w:bottom w:val="none" w:sz="0" w:space="0" w:color="auto"/>
        <w:right w:val="none" w:sz="0" w:space="0" w:color="auto"/>
      </w:divBdr>
      <w:divsChild>
        <w:div w:id="1787626049">
          <w:marLeft w:val="0"/>
          <w:marRight w:val="0"/>
          <w:marTop w:val="0"/>
          <w:marBottom w:val="0"/>
          <w:divBdr>
            <w:top w:val="none" w:sz="0" w:space="0" w:color="auto"/>
            <w:left w:val="none" w:sz="0" w:space="0" w:color="auto"/>
            <w:bottom w:val="none" w:sz="0" w:space="0" w:color="auto"/>
            <w:right w:val="none" w:sz="0" w:space="0" w:color="auto"/>
          </w:divBdr>
        </w:div>
      </w:divsChild>
    </w:div>
    <w:div w:id="2019693020">
      <w:bodyDiv w:val="1"/>
      <w:marLeft w:val="0"/>
      <w:marRight w:val="0"/>
      <w:marTop w:val="0"/>
      <w:marBottom w:val="0"/>
      <w:divBdr>
        <w:top w:val="none" w:sz="0" w:space="0" w:color="auto"/>
        <w:left w:val="none" w:sz="0" w:space="0" w:color="auto"/>
        <w:bottom w:val="none" w:sz="0" w:space="0" w:color="auto"/>
        <w:right w:val="none" w:sz="0" w:space="0" w:color="auto"/>
      </w:divBdr>
      <w:divsChild>
        <w:div w:id="1065228546">
          <w:marLeft w:val="0"/>
          <w:marRight w:val="0"/>
          <w:marTop w:val="0"/>
          <w:marBottom w:val="0"/>
          <w:divBdr>
            <w:top w:val="none" w:sz="0" w:space="0" w:color="auto"/>
            <w:left w:val="none" w:sz="0" w:space="0" w:color="auto"/>
            <w:bottom w:val="none" w:sz="0" w:space="0" w:color="auto"/>
            <w:right w:val="none" w:sz="0" w:space="0" w:color="auto"/>
          </w:divBdr>
        </w:div>
      </w:divsChild>
    </w:div>
    <w:div w:id="2029406783">
      <w:bodyDiv w:val="1"/>
      <w:marLeft w:val="0"/>
      <w:marRight w:val="0"/>
      <w:marTop w:val="0"/>
      <w:marBottom w:val="0"/>
      <w:divBdr>
        <w:top w:val="none" w:sz="0" w:space="0" w:color="auto"/>
        <w:left w:val="none" w:sz="0" w:space="0" w:color="auto"/>
        <w:bottom w:val="none" w:sz="0" w:space="0" w:color="auto"/>
        <w:right w:val="none" w:sz="0" w:space="0" w:color="auto"/>
      </w:divBdr>
      <w:divsChild>
        <w:div w:id="630522917">
          <w:marLeft w:val="0"/>
          <w:marRight w:val="0"/>
          <w:marTop w:val="0"/>
          <w:marBottom w:val="0"/>
          <w:divBdr>
            <w:top w:val="none" w:sz="0" w:space="0" w:color="auto"/>
            <w:left w:val="none" w:sz="0" w:space="0" w:color="auto"/>
            <w:bottom w:val="none" w:sz="0" w:space="0" w:color="auto"/>
            <w:right w:val="none" w:sz="0" w:space="0" w:color="auto"/>
          </w:divBdr>
        </w:div>
      </w:divsChild>
    </w:div>
    <w:div w:id="2034963700">
      <w:bodyDiv w:val="1"/>
      <w:marLeft w:val="0"/>
      <w:marRight w:val="0"/>
      <w:marTop w:val="0"/>
      <w:marBottom w:val="0"/>
      <w:divBdr>
        <w:top w:val="none" w:sz="0" w:space="0" w:color="auto"/>
        <w:left w:val="none" w:sz="0" w:space="0" w:color="auto"/>
        <w:bottom w:val="none" w:sz="0" w:space="0" w:color="auto"/>
        <w:right w:val="none" w:sz="0" w:space="0" w:color="auto"/>
      </w:divBdr>
      <w:divsChild>
        <w:div w:id="2067028712">
          <w:marLeft w:val="0"/>
          <w:marRight w:val="0"/>
          <w:marTop w:val="0"/>
          <w:marBottom w:val="0"/>
          <w:divBdr>
            <w:top w:val="none" w:sz="0" w:space="0" w:color="auto"/>
            <w:left w:val="none" w:sz="0" w:space="0" w:color="auto"/>
            <w:bottom w:val="none" w:sz="0" w:space="0" w:color="auto"/>
            <w:right w:val="none" w:sz="0" w:space="0" w:color="auto"/>
          </w:divBdr>
        </w:div>
        <w:div w:id="1256136218">
          <w:marLeft w:val="0"/>
          <w:marRight w:val="0"/>
          <w:marTop w:val="0"/>
          <w:marBottom w:val="0"/>
          <w:divBdr>
            <w:top w:val="none" w:sz="0" w:space="0" w:color="auto"/>
            <w:left w:val="none" w:sz="0" w:space="0" w:color="auto"/>
            <w:bottom w:val="none" w:sz="0" w:space="0" w:color="auto"/>
            <w:right w:val="none" w:sz="0" w:space="0" w:color="auto"/>
          </w:divBdr>
        </w:div>
        <w:div w:id="1729574629">
          <w:marLeft w:val="0"/>
          <w:marRight w:val="0"/>
          <w:marTop w:val="0"/>
          <w:marBottom w:val="0"/>
          <w:divBdr>
            <w:top w:val="none" w:sz="0" w:space="0" w:color="auto"/>
            <w:left w:val="none" w:sz="0" w:space="0" w:color="auto"/>
            <w:bottom w:val="none" w:sz="0" w:space="0" w:color="auto"/>
            <w:right w:val="none" w:sz="0" w:space="0" w:color="auto"/>
          </w:divBdr>
        </w:div>
        <w:div w:id="1395473416">
          <w:marLeft w:val="0"/>
          <w:marRight w:val="0"/>
          <w:marTop w:val="0"/>
          <w:marBottom w:val="0"/>
          <w:divBdr>
            <w:top w:val="none" w:sz="0" w:space="0" w:color="auto"/>
            <w:left w:val="none" w:sz="0" w:space="0" w:color="auto"/>
            <w:bottom w:val="none" w:sz="0" w:space="0" w:color="auto"/>
            <w:right w:val="none" w:sz="0" w:space="0" w:color="auto"/>
          </w:divBdr>
        </w:div>
        <w:div w:id="822044399">
          <w:marLeft w:val="0"/>
          <w:marRight w:val="0"/>
          <w:marTop w:val="0"/>
          <w:marBottom w:val="0"/>
          <w:divBdr>
            <w:top w:val="none" w:sz="0" w:space="0" w:color="auto"/>
            <w:left w:val="none" w:sz="0" w:space="0" w:color="auto"/>
            <w:bottom w:val="none" w:sz="0" w:space="0" w:color="auto"/>
            <w:right w:val="none" w:sz="0" w:space="0" w:color="auto"/>
          </w:divBdr>
        </w:div>
        <w:div w:id="1676296960">
          <w:marLeft w:val="0"/>
          <w:marRight w:val="0"/>
          <w:marTop w:val="0"/>
          <w:marBottom w:val="0"/>
          <w:divBdr>
            <w:top w:val="none" w:sz="0" w:space="0" w:color="auto"/>
            <w:left w:val="none" w:sz="0" w:space="0" w:color="auto"/>
            <w:bottom w:val="none" w:sz="0" w:space="0" w:color="auto"/>
            <w:right w:val="none" w:sz="0" w:space="0" w:color="auto"/>
          </w:divBdr>
        </w:div>
      </w:divsChild>
    </w:div>
    <w:div w:id="2035574572">
      <w:bodyDiv w:val="1"/>
      <w:marLeft w:val="0"/>
      <w:marRight w:val="0"/>
      <w:marTop w:val="0"/>
      <w:marBottom w:val="0"/>
      <w:divBdr>
        <w:top w:val="none" w:sz="0" w:space="0" w:color="auto"/>
        <w:left w:val="none" w:sz="0" w:space="0" w:color="auto"/>
        <w:bottom w:val="none" w:sz="0" w:space="0" w:color="auto"/>
        <w:right w:val="none" w:sz="0" w:space="0" w:color="auto"/>
      </w:divBdr>
      <w:divsChild>
        <w:div w:id="1027754539">
          <w:marLeft w:val="0"/>
          <w:marRight w:val="0"/>
          <w:marTop w:val="0"/>
          <w:marBottom w:val="0"/>
          <w:divBdr>
            <w:top w:val="none" w:sz="0" w:space="0" w:color="auto"/>
            <w:left w:val="none" w:sz="0" w:space="0" w:color="auto"/>
            <w:bottom w:val="none" w:sz="0" w:space="0" w:color="auto"/>
            <w:right w:val="none" w:sz="0" w:space="0" w:color="auto"/>
          </w:divBdr>
        </w:div>
      </w:divsChild>
    </w:div>
    <w:div w:id="2107456900">
      <w:bodyDiv w:val="1"/>
      <w:marLeft w:val="0"/>
      <w:marRight w:val="0"/>
      <w:marTop w:val="0"/>
      <w:marBottom w:val="0"/>
      <w:divBdr>
        <w:top w:val="none" w:sz="0" w:space="0" w:color="auto"/>
        <w:left w:val="none" w:sz="0" w:space="0" w:color="auto"/>
        <w:bottom w:val="none" w:sz="0" w:space="0" w:color="auto"/>
        <w:right w:val="none" w:sz="0" w:space="0" w:color="auto"/>
      </w:divBdr>
      <w:divsChild>
        <w:div w:id="1655985995">
          <w:marLeft w:val="0"/>
          <w:marRight w:val="0"/>
          <w:marTop w:val="0"/>
          <w:marBottom w:val="0"/>
          <w:divBdr>
            <w:top w:val="none" w:sz="0" w:space="0" w:color="auto"/>
            <w:left w:val="none" w:sz="0" w:space="0" w:color="auto"/>
            <w:bottom w:val="none" w:sz="0" w:space="0" w:color="auto"/>
            <w:right w:val="none" w:sz="0" w:space="0" w:color="auto"/>
          </w:divBdr>
        </w:div>
      </w:divsChild>
    </w:div>
    <w:div w:id="2107919145">
      <w:bodyDiv w:val="1"/>
      <w:marLeft w:val="0"/>
      <w:marRight w:val="0"/>
      <w:marTop w:val="0"/>
      <w:marBottom w:val="0"/>
      <w:divBdr>
        <w:top w:val="none" w:sz="0" w:space="0" w:color="auto"/>
        <w:left w:val="none" w:sz="0" w:space="0" w:color="auto"/>
        <w:bottom w:val="none" w:sz="0" w:space="0" w:color="auto"/>
        <w:right w:val="none" w:sz="0" w:space="0" w:color="auto"/>
      </w:divBdr>
      <w:divsChild>
        <w:div w:id="16571071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ducation-evidence/teaching-learning-toolkit/metacognition-and-self-regulation" TargetMode="External"/><Relationship Id="rId18" Type="http://schemas.openxmlformats.org/officeDocument/2006/relationships/hyperlink" Target="https://educationendowmentfoundation.org.uk/education-evidence/guidance-reports/maths-ks-2-3"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webSettings" Target="webSettings.xml"/><Relationship Id="rId12" Type="http://schemas.openxmlformats.org/officeDocument/2006/relationships/hyperlink" Target="https://educationendowmentfoundation.org.uk/education-evidence/guidance-reports/maths-ks-2-3" TargetMode="External"/><Relationship Id="rId17" Type="http://schemas.openxmlformats.org/officeDocument/2006/relationships/hyperlink" Target="https://educationendowmentfoundation.org.uk/education-evidence/guidance-reports/behaviou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hyperlink" Target="https://educationendowmentfoundation.org.uk/education-evidence/guidance-reports/primary-se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guidance-reports/early-math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ducationendowmentfoundation.org.uk/education-evidence/guidance-reports/literacy-ks2" TargetMode="External"/><Relationship Id="rId23" Type="http://schemas.openxmlformats.org/officeDocument/2006/relationships/footer" Target="footer1.xml"/><Relationship Id="rId10" Type="http://schemas.openxmlformats.org/officeDocument/2006/relationships/hyperlink" Target="https://educationendowmentfoundation.org.uk/evidence-summaries/teaching-learning-toolkit/meta-cognition-and-self-regulation/" TargetMode="External"/><Relationship Id="rId19" Type="http://schemas.openxmlformats.org/officeDocument/2006/relationships/hyperlink" Target="https://researchschool.org.uk/derby/news/oracy-and-disciplinary-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social-and-emotional-learn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ECD03D9C66CE478D24DB52BE50AA32" ma:contentTypeVersion="10" ma:contentTypeDescription="Create a new document." ma:contentTypeScope="" ma:versionID="b5dc9cac92dd215d6533ac10b0b2c5dd">
  <xsd:schema xmlns:xsd="http://www.w3.org/2001/XMLSchema" xmlns:xs="http://www.w3.org/2001/XMLSchema" xmlns:p="http://schemas.microsoft.com/office/2006/metadata/properties" xmlns:ns3="bbb9235a-4d3a-48e9-b40c-03ad0f9281ba" targetNamespace="http://schemas.microsoft.com/office/2006/metadata/properties" ma:root="true" ma:fieldsID="ffee27fbb545fcef8f1ad4e3a5eac890" ns3:_="">
    <xsd:import namespace="bbb9235a-4d3a-48e9-b40c-03ad0f9281b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9235a-4d3a-48e9-b40c-03ad0f9281b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bb9235a-4d3a-48e9-b40c-03ad0f9281ba" xsi:nil="true"/>
  </documentManagement>
</p:properties>
</file>

<file path=customXml/itemProps1.xml><?xml version="1.0" encoding="utf-8"?>
<ds:datastoreItem xmlns:ds="http://schemas.openxmlformats.org/officeDocument/2006/customXml" ds:itemID="{344B8522-465F-4124-B9B0-9BC375312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9235a-4d3a-48e9-b40c-03ad0f928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83538-8B86-4AAF-9891-824FC744563A}">
  <ds:schemaRefs>
    <ds:schemaRef ds:uri="http://schemas.microsoft.com/sharepoint/v3/contenttype/forms"/>
  </ds:schemaRefs>
</ds:datastoreItem>
</file>

<file path=customXml/itemProps3.xml><?xml version="1.0" encoding="utf-8"?>
<ds:datastoreItem xmlns:ds="http://schemas.openxmlformats.org/officeDocument/2006/customXml" ds:itemID="{895B60FE-8818-4819-BDC1-FC68EE171D64}">
  <ds:schemaRefs>
    <ds:schemaRef ds:uri="http://purl.org/dc/terms/"/>
    <ds:schemaRef ds:uri="http://www.w3.org/XML/1998/namespace"/>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bbb9235a-4d3a-48e9-b40c-03ad0f9281ba"/>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4484</Words>
  <Characters>25564</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N Stone</cp:lastModifiedBy>
  <cp:revision>2</cp:revision>
  <cp:lastPrinted>2014-09-18T05:26:00Z</cp:lastPrinted>
  <dcterms:created xsi:type="dcterms:W3CDTF">2025-12-19T15:40:00Z</dcterms:created>
  <dcterms:modified xsi:type="dcterms:W3CDTF">2025-12-19T15:40:00Z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0x010100B0ECD03D9C66CE478D24DB52BE50AA32</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